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7DB" w:rsidRDefault="00A057DB" w:rsidP="00A057DB">
      <w:pPr>
        <w:jc w:val="both"/>
        <w:rPr>
          <w:sz w:val="56"/>
          <w:szCs w:val="56"/>
        </w:rPr>
      </w:pPr>
      <w:bookmarkStart w:id="0" w:name="_GoBack"/>
      <w:bookmarkEnd w:id="0"/>
      <w:r>
        <w:rPr>
          <w:noProof/>
          <w:sz w:val="56"/>
          <w:szCs w:val="56"/>
          <w:lang w:eastAsia="en-GB"/>
        </w:rPr>
        <w:drawing>
          <wp:anchor distT="0" distB="0" distL="114300" distR="114300" simplePos="0" relativeHeight="251659264" behindDoc="1" locked="0" layoutInCell="1" allowOverlap="1">
            <wp:simplePos x="0" y="0"/>
            <wp:positionH relativeFrom="column">
              <wp:posOffset>-933450</wp:posOffset>
            </wp:positionH>
            <wp:positionV relativeFrom="paragraph">
              <wp:posOffset>-912495</wp:posOffset>
            </wp:positionV>
            <wp:extent cx="7572375" cy="1068133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1335"/>
                    </a:xfrm>
                    <a:prstGeom prst="rect">
                      <a:avLst/>
                    </a:prstGeom>
                    <a:noFill/>
                  </pic:spPr>
                </pic:pic>
              </a:graphicData>
            </a:graphic>
            <wp14:sizeRelH relativeFrom="page">
              <wp14:pctWidth>0</wp14:pctWidth>
            </wp14:sizeRelH>
            <wp14:sizeRelV relativeFrom="page">
              <wp14:pctHeight>0</wp14:pctHeight>
            </wp14:sizeRelV>
          </wp:anchor>
        </w:drawing>
      </w:r>
    </w:p>
    <w:p w:rsidR="00A057DB" w:rsidRPr="009E58BF" w:rsidRDefault="00A057DB" w:rsidP="00A057DB">
      <w:pPr>
        <w:rPr>
          <w:rFonts w:cs="Calibri"/>
          <w:szCs w:val="24"/>
        </w:rPr>
      </w:pPr>
    </w:p>
    <w:p w:rsidR="00A057DB" w:rsidRDefault="00A057DB" w:rsidP="00A057DB">
      <w:pPr>
        <w:pStyle w:val="Title"/>
        <w:pBdr>
          <w:bottom w:val="none" w:sz="0" w:space="0" w:color="auto"/>
        </w:pBdr>
        <w:ind w:left="4320"/>
      </w:pPr>
    </w:p>
    <w:p w:rsidR="00A057DB" w:rsidRDefault="00A057DB" w:rsidP="00A057DB">
      <w:pPr>
        <w:pStyle w:val="Title"/>
        <w:pBdr>
          <w:bottom w:val="none" w:sz="0" w:space="0" w:color="auto"/>
        </w:pBdr>
        <w:ind w:left="4320"/>
      </w:pPr>
    </w:p>
    <w:p w:rsidR="00A057DB" w:rsidRDefault="00A057DB" w:rsidP="00A057DB">
      <w:pPr>
        <w:pStyle w:val="Title"/>
        <w:pBdr>
          <w:bottom w:val="none" w:sz="0" w:space="0" w:color="auto"/>
        </w:pBdr>
        <w:ind w:left="4320"/>
        <w:rPr>
          <w:color w:val="FFFFFF"/>
        </w:rPr>
      </w:pPr>
    </w:p>
    <w:p w:rsidR="00A057DB" w:rsidRDefault="00A057DB" w:rsidP="00A057DB">
      <w:pPr>
        <w:pStyle w:val="Title"/>
        <w:pBdr>
          <w:bottom w:val="none" w:sz="0" w:space="0" w:color="auto"/>
        </w:pBdr>
        <w:ind w:left="4320"/>
        <w:jc w:val="right"/>
        <w:rPr>
          <w:b/>
          <w:color w:val="FFFFFF"/>
          <w:sz w:val="72"/>
        </w:rPr>
      </w:pPr>
    </w:p>
    <w:p w:rsidR="0064004B" w:rsidRDefault="0033778E" w:rsidP="0033778E">
      <w:pPr>
        <w:pStyle w:val="Title"/>
        <w:pBdr>
          <w:bottom w:val="none" w:sz="0" w:space="0" w:color="auto"/>
        </w:pBdr>
        <w:rPr>
          <w:rFonts w:ascii="Arial" w:hAnsi="Arial" w:cs="Arial"/>
          <w:color w:val="FFFFFF"/>
          <w:sz w:val="44"/>
        </w:rPr>
      </w:pPr>
      <w:r>
        <w:rPr>
          <w:rFonts w:ascii="Arial" w:hAnsi="Arial" w:cs="Arial"/>
          <w:color w:val="FFFFFF"/>
          <w:sz w:val="44"/>
        </w:rPr>
        <w:t xml:space="preserve">                               </w:t>
      </w:r>
      <w:r w:rsidR="00A057DB" w:rsidRPr="00D92CD4">
        <w:rPr>
          <w:rFonts w:ascii="Arial" w:hAnsi="Arial" w:cs="Arial"/>
          <w:color w:val="FFFFFF"/>
          <w:sz w:val="44"/>
        </w:rPr>
        <w:t>City of Liverpool</w:t>
      </w:r>
    </w:p>
    <w:p w:rsidR="006C7BC5" w:rsidRPr="0064004B" w:rsidRDefault="0064004B" w:rsidP="0064004B">
      <w:pPr>
        <w:pStyle w:val="Title"/>
        <w:pBdr>
          <w:bottom w:val="none" w:sz="0" w:space="0" w:color="auto"/>
        </w:pBdr>
        <w:rPr>
          <w:rFonts w:ascii="Arial" w:hAnsi="Arial" w:cs="Arial"/>
          <w:color w:val="FFFFFF"/>
          <w:sz w:val="44"/>
        </w:rPr>
      </w:pPr>
      <w:r>
        <w:rPr>
          <w:rFonts w:ascii="Arial" w:hAnsi="Arial" w:cs="Arial"/>
          <w:color w:val="FFFFFF"/>
          <w:sz w:val="44"/>
        </w:rPr>
        <w:t xml:space="preserve">                      </w:t>
      </w:r>
      <w:r w:rsidR="00A057DB" w:rsidRPr="006C7BC5">
        <w:rPr>
          <w:rFonts w:ascii="Arial" w:hAnsi="Arial" w:cs="Arial"/>
          <w:color w:val="FFFFFF"/>
          <w:sz w:val="48"/>
          <w:szCs w:val="48"/>
        </w:rPr>
        <w:t>Safeguarding</w:t>
      </w:r>
      <w:r>
        <w:rPr>
          <w:rFonts w:ascii="Arial" w:hAnsi="Arial" w:cs="Arial"/>
          <w:color w:val="FFFFFF"/>
          <w:sz w:val="44"/>
        </w:rPr>
        <w:t xml:space="preserve"> </w:t>
      </w:r>
      <w:r w:rsidR="006C7BC5" w:rsidRPr="006C7BC5">
        <w:rPr>
          <w:rFonts w:ascii="Arial" w:hAnsi="Arial" w:cs="Arial"/>
          <w:color w:val="FFFFFF"/>
          <w:sz w:val="48"/>
          <w:szCs w:val="48"/>
        </w:rPr>
        <w:t>Adults Board</w:t>
      </w:r>
      <w:r w:rsidR="006C7BC5">
        <w:rPr>
          <w:rFonts w:ascii="Arial" w:hAnsi="Arial" w:cs="Arial"/>
          <w:color w:val="FFFFFF"/>
          <w:sz w:val="48"/>
          <w:szCs w:val="48"/>
        </w:rPr>
        <w:t xml:space="preserve"> </w:t>
      </w:r>
    </w:p>
    <w:p w:rsidR="00A057DB" w:rsidRDefault="006C7BC5" w:rsidP="006C7BC5">
      <w:pPr>
        <w:pStyle w:val="Title"/>
        <w:pBdr>
          <w:bottom w:val="none" w:sz="0" w:space="0" w:color="auto"/>
        </w:pBdr>
        <w:rPr>
          <w:rFonts w:ascii="Arial" w:hAnsi="Arial" w:cs="Arial"/>
          <w:color w:val="FFFFFF"/>
          <w:sz w:val="48"/>
          <w:szCs w:val="48"/>
        </w:rPr>
      </w:pPr>
      <w:r>
        <w:rPr>
          <w:rFonts w:ascii="Arial" w:hAnsi="Arial" w:cs="Arial"/>
          <w:color w:val="FFFFFF"/>
          <w:sz w:val="48"/>
          <w:szCs w:val="48"/>
        </w:rPr>
        <w:t xml:space="preserve">                    Safeguarding Adults Review </w:t>
      </w:r>
    </w:p>
    <w:p w:rsidR="0064004B" w:rsidRPr="0064004B" w:rsidRDefault="0064004B" w:rsidP="0064004B">
      <w:r>
        <w:t xml:space="preserve">                                                       </w:t>
      </w:r>
    </w:p>
    <w:p w:rsidR="0064004B" w:rsidRPr="0064004B" w:rsidRDefault="0064004B" w:rsidP="0064004B">
      <w:pPr>
        <w:tabs>
          <w:tab w:val="left" w:pos="3840"/>
        </w:tabs>
      </w:pPr>
      <w:r>
        <w:tab/>
      </w:r>
    </w:p>
    <w:p w:rsidR="006C7BC5" w:rsidRPr="006C7BC5" w:rsidRDefault="006C7BC5" w:rsidP="006C7BC5"/>
    <w:p w:rsidR="00A057DB" w:rsidRPr="00E96C6E" w:rsidRDefault="00A057DB" w:rsidP="00A057DB">
      <w:pPr>
        <w:rPr>
          <w:rFonts w:cs="Calibri"/>
          <w:lang w:eastAsia="en-GB"/>
        </w:rPr>
      </w:pPr>
    </w:p>
    <w:p w:rsidR="00A057DB" w:rsidRPr="00E96C6E" w:rsidRDefault="00A057DB" w:rsidP="00A057DB">
      <w:pPr>
        <w:rPr>
          <w:rFonts w:cs="Calibri"/>
          <w:lang w:eastAsia="en-GB"/>
        </w:rPr>
      </w:pPr>
    </w:p>
    <w:p w:rsidR="00A057DB" w:rsidRPr="00E96C6E" w:rsidRDefault="00A057DB" w:rsidP="00A057DB">
      <w:pPr>
        <w:rPr>
          <w:rFonts w:cs="Calibri"/>
          <w:lang w:eastAsia="en-GB"/>
        </w:rPr>
      </w:pPr>
    </w:p>
    <w:p w:rsidR="00A057DB" w:rsidRPr="00E96C6E" w:rsidRDefault="00A057DB" w:rsidP="00A057DB">
      <w:pPr>
        <w:rPr>
          <w:rFonts w:cs="Calibri"/>
          <w:lang w:eastAsia="en-GB"/>
        </w:rPr>
      </w:pPr>
    </w:p>
    <w:p w:rsidR="00A057DB" w:rsidRPr="00E96C6E" w:rsidRDefault="00A057DB" w:rsidP="00A057DB">
      <w:pPr>
        <w:pStyle w:val="Subtitle"/>
        <w:jc w:val="right"/>
        <w:rPr>
          <w:rFonts w:cs="Calibri"/>
          <w:color w:val="CC3399"/>
        </w:rPr>
      </w:pPr>
    </w:p>
    <w:p w:rsidR="00A057DB" w:rsidRPr="00E96C6E" w:rsidRDefault="00A057DB" w:rsidP="00A057DB">
      <w:pPr>
        <w:pStyle w:val="Subtitle"/>
        <w:jc w:val="right"/>
        <w:rPr>
          <w:rFonts w:cs="Calibri"/>
          <w:color w:val="CC3399"/>
        </w:rPr>
      </w:pPr>
    </w:p>
    <w:p w:rsidR="00A057DB" w:rsidRPr="00E96C6E" w:rsidRDefault="00A057DB" w:rsidP="00A057DB">
      <w:pPr>
        <w:pStyle w:val="Subtitle"/>
        <w:jc w:val="right"/>
        <w:rPr>
          <w:rFonts w:cs="Calibri"/>
          <w:color w:val="CC3399"/>
        </w:rPr>
      </w:pPr>
    </w:p>
    <w:p w:rsidR="00A057DB" w:rsidRPr="00E96C6E" w:rsidRDefault="00A057DB" w:rsidP="00A057DB">
      <w:pPr>
        <w:pStyle w:val="Subtitle"/>
        <w:jc w:val="right"/>
        <w:rPr>
          <w:rFonts w:cs="Calibri"/>
          <w:color w:val="CC3399"/>
        </w:rPr>
      </w:pPr>
    </w:p>
    <w:p w:rsidR="00A057DB" w:rsidRPr="00E96C6E" w:rsidRDefault="00A057DB" w:rsidP="00A057DB">
      <w:pPr>
        <w:pStyle w:val="Subtitle"/>
        <w:jc w:val="right"/>
        <w:rPr>
          <w:rFonts w:cs="Calibri"/>
          <w:color w:val="CC3399"/>
        </w:rPr>
      </w:pPr>
    </w:p>
    <w:p w:rsidR="00A057DB" w:rsidRDefault="00A057DB" w:rsidP="00A057DB">
      <w:pPr>
        <w:rPr>
          <w:rFonts w:ascii="Arial" w:hAnsi="Arial" w:cs="Arial"/>
        </w:rPr>
        <w:sectPr w:rsidR="00A057DB" w:rsidSect="00B25A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titlePg/>
          <w:docGrid w:linePitch="360"/>
        </w:sectPr>
      </w:pPr>
    </w:p>
    <w:p w:rsidR="00AC204A" w:rsidRDefault="00AC204A" w:rsidP="00544E33">
      <w:pPr>
        <w:ind w:left="2160" w:firstLine="720"/>
        <w:rPr>
          <w:rFonts w:ascii="Arial" w:hAnsi="Arial" w:cs="Arial"/>
          <w:b/>
          <w:sz w:val="24"/>
          <w:szCs w:val="24"/>
        </w:rPr>
      </w:pPr>
    </w:p>
    <w:p w:rsidR="00A057DB" w:rsidRDefault="00A057DB" w:rsidP="00544E33">
      <w:pPr>
        <w:ind w:left="2160" w:firstLine="720"/>
        <w:rPr>
          <w:rFonts w:ascii="Arial" w:hAnsi="Arial" w:cs="Arial"/>
          <w:b/>
          <w:sz w:val="24"/>
          <w:szCs w:val="24"/>
        </w:rPr>
      </w:pPr>
    </w:p>
    <w:p w:rsidR="00A057DB" w:rsidRDefault="00A057DB" w:rsidP="00544E33">
      <w:pPr>
        <w:ind w:left="2160" w:firstLine="720"/>
        <w:rPr>
          <w:rFonts w:ascii="Arial" w:hAnsi="Arial" w:cs="Arial"/>
          <w:b/>
          <w:sz w:val="24"/>
          <w:szCs w:val="24"/>
        </w:rPr>
      </w:pPr>
    </w:p>
    <w:p w:rsidR="00AC204A" w:rsidRDefault="00AC204A" w:rsidP="00544E33">
      <w:pPr>
        <w:ind w:left="2160" w:firstLine="720"/>
        <w:rPr>
          <w:rFonts w:ascii="Arial" w:hAnsi="Arial" w:cs="Arial"/>
          <w:b/>
          <w:sz w:val="24"/>
          <w:szCs w:val="24"/>
        </w:rPr>
      </w:pPr>
    </w:p>
    <w:p w:rsidR="00544E33" w:rsidRPr="00681267" w:rsidRDefault="00544E33" w:rsidP="00544E33">
      <w:pPr>
        <w:rPr>
          <w:rFonts w:ascii="Arial" w:hAnsi="Arial" w:cs="Arial"/>
          <w:b/>
          <w:sz w:val="24"/>
          <w:szCs w:val="24"/>
        </w:rPr>
      </w:pPr>
    </w:p>
    <w:p w:rsidR="00544E33" w:rsidRPr="00681267" w:rsidRDefault="00544E33" w:rsidP="00544E33">
      <w:pPr>
        <w:ind w:left="2160" w:firstLine="720"/>
        <w:rPr>
          <w:rFonts w:ascii="Arial" w:hAnsi="Arial" w:cs="Arial"/>
          <w:b/>
          <w:sz w:val="24"/>
          <w:szCs w:val="24"/>
        </w:rPr>
      </w:pPr>
    </w:p>
    <w:p w:rsidR="00544E33" w:rsidRPr="00681267" w:rsidRDefault="00544E33" w:rsidP="00544E33">
      <w:pPr>
        <w:ind w:left="2160" w:firstLine="720"/>
        <w:rPr>
          <w:rFonts w:ascii="Arial" w:hAnsi="Arial" w:cs="Arial"/>
          <w:b/>
          <w:sz w:val="24"/>
          <w:szCs w:val="24"/>
        </w:rPr>
      </w:pPr>
    </w:p>
    <w:p w:rsidR="00544E33" w:rsidRPr="00681267" w:rsidRDefault="00544E33" w:rsidP="00544E33">
      <w:pPr>
        <w:ind w:left="2160" w:firstLine="720"/>
        <w:rPr>
          <w:rFonts w:ascii="Arial" w:hAnsi="Arial" w:cs="Arial"/>
          <w:b/>
          <w:sz w:val="24"/>
          <w:szCs w:val="24"/>
        </w:rPr>
      </w:pPr>
    </w:p>
    <w:p w:rsidR="00544E33" w:rsidRPr="008579E3" w:rsidRDefault="00544E33" w:rsidP="00544E33">
      <w:pPr>
        <w:ind w:left="2160" w:firstLine="720"/>
        <w:rPr>
          <w:rFonts w:ascii="Arial" w:hAnsi="Arial" w:cs="Arial"/>
          <w:b/>
          <w:sz w:val="28"/>
          <w:szCs w:val="28"/>
        </w:rPr>
      </w:pPr>
      <w:r w:rsidRPr="008579E3">
        <w:rPr>
          <w:rFonts w:ascii="Arial" w:hAnsi="Arial" w:cs="Arial"/>
          <w:b/>
          <w:sz w:val="28"/>
          <w:szCs w:val="28"/>
        </w:rPr>
        <w:t xml:space="preserve">Report in respect of </w:t>
      </w:r>
    </w:p>
    <w:p w:rsidR="00544E33" w:rsidRPr="00681267" w:rsidRDefault="00BD3FB9" w:rsidP="002A381B">
      <w:pPr>
        <w:ind w:left="2160" w:firstLine="720"/>
        <w:rPr>
          <w:rFonts w:ascii="Arial" w:hAnsi="Arial" w:cs="Arial"/>
          <w:b/>
          <w:sz w:val="24"/>
          <w:szCs w:val="24"/>
        </w:rPr>
      </w:pPr>
      <w:r>
        <w:rPr>
          <w:rFonts w:ascii="Arial" w:hAnsi="Arial" w:cs="Arial"/>
          <w:b/>
          <w:sz w:val="28"/>
          <w:szCs w:val="28"/>
        </w:rPr>
        <w:t>Edward Nowell</w:t>
      </w:r>
      <w:r>
        <w:rPr>
          <w:rStyle w:val="FootnoteReference"/>
          <w:rFonts w:ascii="Arial" w:hAnsi="Arial" w:cs="Arial"/>
          <w:b/>
          <w:sz w:val="28"/>
          <w:szCs w:val="28"/>
        </w:rPr>
        <w:footnoteReference w:id="1"/>
      </w:r>
      <w:r w:rsidR="00AC204A">
        <w:rPr>
          <w:rFonts w:ascii="Arial" w:hAnsi="Arial" w:cs="Arial"/>
          <w:b/>
          <w:sz w:val="28"/>
          <w:szCs w:val="28"/>
        </w:rPr>
        <w:t>(1964-2015)</w:t>
      </w:r>
    </w:p>
    <w:p w:rsidR="00544E33" w:rsidRPr="00681267" w:rsidRDefault="00544E33" w:rsidP="00544E33">
      <w:pPr>
        <w:rPr>
          <w:rFonts w:ascii="Arial" w:hAnsi="Arial" w:cs="Arial"/>
          <w:sz w:val="24"/>
          <w:szCs w:val="24"/>
        </w:rPr>
      </w:pPr>
    </w:p>
    <w:p w:rsidR="00544E33" w:rsidRPr="00681267" w:rsidRDefault="00544E33" w:rsidP="00544E33">
      <w:pPr>
        <w:rPr>
          <w:rFonts w:ascii="Arial" w:hAnsi="Arial" w:cs="Arial"/>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ind w:left="2880" w:firstLine="720"/>
        <w:rPr>
          <w:rFonts w:ascii="Arial" w:hAnsi="Arial" w:cs="Arial"/>
          <w:b/>
          <w:sz w:val="24"/>
          <w:szCs w:val="24"/>
        </w:rPr>
      </w:pPr>
    </w:p>
    <w:p w:rsidR="00FF3F0E" w:rsidRPr="00681267" w:rsidRDefault="00FF3F0E" w:rsidP="00544E33">
      <w:pPr>
        <w:rPr>
          <w:rFonts w:ascii="Arial" w:hAnsi="Arial" w:cs="Arial"/>
          <w:b/>
          <w:sz w:val="24"/>
          <w:szCs w:val="24"/>
        </w:rPr>
      </w:pPr>
    </w:p>
    <w:p w:rsidR="00FF3F0E" w:rsidRPr="00681267" w:rsidRDefault="00FF3F0E" w:rsidP="00544E33">
      <w:pPr>
        <w:rPr>
          <w:rFonts w:ascii="Arial" w:hAnsi="Arial" w:cs="Arial"/>
          <w:b/>
          <w:sz w:val="24"/>
          <w:szCs w:val="24"/>
        </w:rPr>
      </w:pPr>
    </w:p>
    <w:p w:rsidR="00AC204A" w:rsidRDefault="00AC204A" w:rsidP="00544E33">
      <w:pPr>
        <w:rPr>
          <w:rFonts w:ascii="Arial" w:hAnsi="Arial" w:cs="Arial"/>
          <w:b/>
          <w:sz w:val="24"/>
          <w:szCs w:val="24"/>
        </w:rPr>
      </w:pPr>
    </w:p>
    <w:p w:rsidR="00A53AF0" w:rsidRPr="00681267" w:rsidRDefault="00544E33" w:rsidP="00544E33">
      <w:pPr>
        <w:rPr>
          <w:rFonts w:ascii="Arial" w:hAnsi="Arial" w:cs="Arial"/>
          <w:sz w:val="24"/>
          <w:szCs w:val="24"/>
        </w:rPr>
      </w:pPr>
      <w:r w:rsidRPr="00681267">
        <w:rPr>
          <w:rFonts w:ascii="Arial" w:hAnsi="Arial" w:cs="Arial"/>
          <w:b/>
          <w:sz w:val="24"/>
          <w:szCs w:val="24"/>
        </w:rPr>
        <w:t>Report Author</w:t>
      </w:r>
      <w:r w:rsidRPr="00681267">
        <w:rPr>
          <w:rFonts w:ascii="Arial" w:hAnsi="Arial" w:cs="Arial"/>
          <w:sz w:val="24"/>
          <w:szCs w:val="24"/>
        </w:rPr>
        <w:t xml:space="preserve">: </w:t>
      </w:r>
      <w:r w:rsidRPr="00681267">
        <w:rPr>
          <w:rFonts w:ascii="Arial" w:hAnsi="Arial" w:cs="Arial"/>
          <w:sz w:val="24"/>
          <w:szCs w:val="24"/>
        </w:rPr>
        <w:tab/>
        <w:t>Shirley Williams MSc. BA. RSW</w:t>
      </w:r>
    </w:p>
    <w:p w:rsidR="00AC204A" w:rsidRDefault="00544E33" w:rsidP="00544E33">
      <w:pPr>
        <w:rPr>
          <w:rFonts w:ascii="Arial" w:hAnsi="Arial" w:cs="Arial"/>
          <w:sz w:val="24"/>
          <w:szCs w:val="24"/>
        </w:rPr>
      </w:pPr>
      <w:r w:rsidRPr="00681267">
        <w:rPr>
          <w:rFonts w:ascii="Arial" w:hAnsi="Arial" w:cs="Arial"/>
          <w:sz w:val="24"/>
          <w:szCs w:val="24"/>
        </w:rPr>
        <w:t xml:space="preserve">Consultant in </w:t>
      </w:r>
      <w:r w:rsidR="00A53AF0" w:rsidRPr="00681267">
        <w:rPr>
          <w:rFonts w:ascii="Arial" w:hAnsi="Arial" w:cs="Arial"/>
          <w:sz w:val="24"/>
          <w:szCs w:val="24"/>
        </w:rPr>
        <w:t>H</w:t>
      </w:r>
      <w:r w:rsidRPr="00681267">
        <w:rPr>
          <w:rFonts w:ascii="Arial" w:hAnsi="Arial" w:cs="Arial"/>
          <w:sz w:val="24"/>
          <w:szCs w:val="24"/>
        </w:rPr>
        <w:t xml:space="preserve">ealth and </w:t>
      </w:r>
      <w:r w:rsidR="00A53AF0" w:rsidRPr="00681267">
        <w:rPr>
          <w:rFonts w:ascii="Arial" w:hAnsi="Arial" w:cs="Arial"/>
          <w:sz w:val="24"/>
          <w:szCs w:val="24"/>
        </w:rPr>
        <w:t>S</w:t>
      </w:r>
      <w:r w:rsidRPr="00681267">
        <w:rPr>
          <w:rFonts w:ascii="Arial" w:hAnsi="Arial" w:cs="Arial"/>
          <w:sz w:val="24"/>
          <w:szCs w:val="24"/>
        </w:rPr>
        <w:t xml:space="preserve">ocial </w:t>
      </w:r>
      <w:r w:rsidR="00A53AF0" w:rsidRPr="00681267">
        <w:rPr>
          <w:rFonts w:ascii="Arial" w:hAnsi="Arial" w:cs="Arial"/>
          <w:sz w:val="24"/>
          <w:szCs w:val="24"/>
        </w:rPr>
        <w:t>C</w:t>
      </w:r>
      <w:r w:rsidRPr="00681267">
        <w:rPr>
          <w:rFonts w:ascii="Arial" w:hAnsi="Arial" w:cs="Arial"/>
          <w:sz w:val="24"/>
          <w:szCs w:val="24"/>
        </w:rPr>
        <w:t>are and Independent Chair of a North West England Safeguarding Adults Board.</w:t>
      </w:r>
    </w:p>
    <w:p w:rsidR="00544E33" w:rsidRPr="00681267" w:rsidRDefault="00544E33" w:rsidP="00544E33">
      <w:pPr>
        <w:rPr>
          <w:rFonts w:ascii="Arial" w:hAnsi="Arial" w:cs="Arial"/>
          <w:sz w:val="24"/>
          <w:szCs w:val="24"/>
        </w:rPr>
      </w:pPr>
    </w:p>
    <w:tbl>
      <w:tblPr>
        <w:tblW w:w="0" w:type="auto"/>
        <w:tblLook w:val="01E0" w:firstRow="1" w:lastRow="1" w:firstColumn="1" w:lastColumn="1" w:noHBand="0" w:noVBand="0"/>
      </w:tblPr>
      <w:tblGrid>
        <w:gridCol w:w="550"/>
        <w:gridCol w:w="6758"/>
        <w:gridCol w:w="1220"/>
      </w:tblGrid>
      <w:tr w:rsidR="00B31997" w:rsidRPr="00681267" w:rsidTr="00A53AF0">
        <w:trPr>
          <w:trHeight w:val="567"/>
        </w:trPr>
        <w:tc>
          <w:tcPr>
            <w:tcW w:w="7308" w:type="dxa"/>
            <w:gridSpan w:val="2"/>
          </w:tcPr>
          <w:p w:rsidR="00B31997" w:rsidRPr="008579E3" w:rsidRDefault="00B31997" w:rsidP="00A53AF0">
            <w:pPr>
              <w:rPr>
                <w:rFonts w:ascii="Arial" w:hAnsi="Arial" w:cs="Arial"/>
                <w:sz w:val="28"/>
                <w:szCs w:val="28"/>
              </w:rPr>
            </w:pPr>
            <w:r w:rsidRPr="008579E3">
              <w:rPr>
                <w:rFonts w:ascii="Arial" w:hAnsi="Arial" w:cs="Arial"/>
                <w:b/>
                <w:sz w:val="28"/>
                <w:szCs w:val="28"/>
              </w:rPr>
              <w:lastRenderedPageBreak/>
              <w:t xml:space="preserve">Contents </w:t>
            </w:r>
          </w:p>
        </w:tc>
        <w:tc>
          <w:tcPr>
            <w:tcW w:w="1220" w:type="dxa"/>
          </w:tcPr>
          <w:p w:rsidR="00B31997" w:rsidRPr="00681267" w:rsidRDefault="00B31997" w:rsidP="00A12D0F">
            <w:pPr>
              <w:rPr>
                <w:rFonts w:ascii="Arial" w:hAnsi="Arial" w:cs="Arial"/>
                <w:sz w:val="24"/>
                <w:szCs w:val="24"/>
              </w:rPr>
            </w:pPr>
            <w:r w:rsidRPr="00681267">
              <w:rPr>
                <w:rFonts w:ascii="Arial" w:hAnsi="Arial" w:cs="Arial"/>
                <w:sz w:val="24"/>
                <w:szCs w:val="24"/>
              </w:rPr>
              <w:t>Page</w:t>
            </w:r>
          </w:p>
        </w:tc>
      </w:tr>
      <w:tr w:rsidR="00B31997" w:rsidRPr="00681267" w:rsidTr="00A12D0F">
        <w:trPr>
          <w:trHeight w:val="454"/>
        </w:trPr>
        <w:tc>
          <w:tcPr>
            <w:tcW w:w="550" w:type="dxa"/>
          </w:tcPr>
          <w:p w:rsidR="00B31997" w:rsidRPr="00681267" w:rsidRDefault="00B31997" w:rsidP="00A12D0F">
            <w:pPr>
              <w:rPr>
                <w:rFonts w:ascii="Arial" w:hAnsi="Arial" w:cs="Arial"/>
                <w:sz w:val="24"/>
                <w:szCs w:val="24"/>
              </w:rPr>
            </w:pPr>
            <w:r w:rsidRPr="00681267">
              <w:rPr>
                <w:rFonts w:ascii="Arial" w:hAnsi="Arial" w:cs="Arial"/>
                <w:sz w:val="24"/>
                <w:szCs w:val="24"/>
              </w:rPr>
              <w:t>1.</w:t>
            </w:r>
          </w:p>
        </w:tc>
        <w:tc>
          <w:tcPr>
            <w:tcW w:w="6758" w:type="dxa"/>
          </w:tcPr>
          <w:p w:rsidR="00B31997" w:rsidRPr="00681267" w:rsidRDefault="00B31997" w:rsidP="00A12D0F">
            <w:pPr>
              <w:rPr>
                <w:rFonts w:ascii="Arial" w:hAnsi="Arial" w:cs="Arial"/>
                <w:sz w:val="24"/>
                <w:szCs w:val="24"/>
              </w:rPr>
            </w:pPr>
            <w:r w:rsidRPr="00681267">
              <w:rPr>
                <w:rFonts w:ascii="Arial" w:hAnsi="Arial" w:cs="Arial"/>
                <w:sz w:val="24"/>
                <w:szCs w:val="24"/>
              </w:rPr>
              <w:t xml:space="preserve">Introduction and reason for this </w:t>
            </w:r>
            <w:r w:rsidR="00BB0FB4">
              <w:rPr>
                <w:rFonts w:ascii="Arial" w:hAnsi="Arial" w:cs="Arial"/>
                <w:sz w:val="24"/>
                <w:szCs w:val="24"/>
              </w:rPr>
              <w:t>Safeguarding Adults</w:t>
            </w:r>
            <w:r w:rsidRPr="00681267">
              <w:rPr>
                <w:rFonts w:ascii="Arial" w:hAnsi="Arial" w:cs="Arial"/>
                <w:sz w:val="24"/>
                <w:szCs w:val="24"/>
              </w:rPr>
              <w:t xml:space="preserve"> Review (SAR)</w:t>
            </w:r>
          </w:p>
          <w:p w:rsidR="00B31997" w:rsidRPr="00681267" w:rsidRDefault="00B31997" w:rsidP="00A12D0F">
            <w:pPr>
              <w:rPr>
                <w:rFonts w:ascii="Arial" w:hAnsi="Arial" w:cs="Arial"/>
                <w:sz w:val="24"/>
                <w:szCs w:val="24"/>
              </w:rPr>
            </w:pPr>
          </w:p>
        </w:tc>
        <w:tc>
          <w:tcPr>
            <w:tcW w:w="1220" w:type="dxa"/>
          </w:tcPr>
          <w:p w:rsidR="00B31997" w:rsidRPr="00681267" w:rsidRDefault="00975A1F" w:rsidP="00A12D0F">
            <w:pPr>
              <w:rPr>
                <w:rFonts w:ascii="Arial" w:hAnsi="Arial" w:cs="Arial"/>
                <w:sz w:val="24"/>
                <w:szCs w:val="24"/>
              </w:rPr>
            </w:pPr>
            <w:r w:rsidRPr="00681267">
              <w:rPr>
                <w:rFonts w:ascii="Arial" w:hAnsi="Arial" w:cs="Arial"/>
                <w:sz w:val="24"/>
                <w:szCs w:val="24"/>
              </w:rPr>
              <w:t>4</w:t>
            </w:r>
          </w:p>
        </w:tc>
      </w:tr>
      <w:tr w:rsidR="00B31997" w:rsidRPr="00681267" w:rsidTr="00A12D0F">
        <w:trPr>
          <w:trHeight w:val="454"/>
        </w:trPr>
        <w:tc>
          <w:tcPr>
            <w:tcW w:w="550" w:type="dxa"/>
          </w:tcPr>
          <w:p w:rsidR="00B31997" w:rsidRPr="00681267" w:rsidRDefault="00B31997" w:rsidP="00A12D0F">
            <w:pPr>
              <w:rPr>
                <w:rFonts w:ascii="Arial" w:hAnsi="Arial" w:cs="Arial"/>
                <w:sz w:val="24"/>
                <w:szCs w:val="24"/>
              </w:rPr>
            </w:pPr>
            <w:r w:rsidRPr="00681267">
              <w:rPr>
                <w:rFonts w:ascii="Arial" w:hAnsi="Arial" w:cs="Arial"/>
                <w:sz w:val="24"/>
                <w:szCs w:val="24"/>
              </w:rPr>
              <w:t>2.</w:t>
            </w:r>
          </w:p>
        </w:tc>
        <w:tc>
          <w:tcPr>
            <w:tcW w:w="6758" w:type="dxa"/>
          </w:tcPr>
          <w:p w:rsidR="00B31997" w:rsidRPr="00681267" w:rsidRDefault="00B31997" w:rsidP="00A12D0F">
            <w:pPr>
              <w:rPr>
                <w:rFonts w:ascii="Arial" w:hAnsi="Arial" w:cs="Arial"/>
                <w:sz w:val="24"/>
                <w:szCs w:val="24"/>
              </w:rPr>
            </w:pPr>
            <w:r w:rsidRPr="00681267">
              <w:rPr>
                <w:rFonts w:ascii="Arial" w:hAnsi="Arial" w:cs="Arial"/>
                <w:sz w:val="24"/>
                <w:szCs w:val="24"/>
              </w:rPr>
              <w:t>Purpose and methodology for the SAR</w:t>
            </w:r>
          </w:p>
          <w:p w:rsidR="00B31997" w:rsidRPr="00681267" w:rsidRDefault="00B31997" w:rsidP="00A12D0F">
            <w:pPr>
              <w:rPr>
                <w:rFonts w:ascii="Arial" w:hAnsi="Arial" w:cs="Arial"/>
                <w:sz w:val="24"/>
                <w:szCs w:val="24"/>
              </w:rPr>
            </w:pPr>
          </w:p>
        </w:tc>
        <w:tc>
          <w:tcPr>
            <w:tcW w:w="1220" w:type="dxa"/>
          </w:tcPr>
          <w:p w:rsidR="00B31997" w:rsidRPr="00681267" w:rsidRDefault="00476CD0" w:rsidP="00A12D0F">
            <w:pPr>
              <w:rPr>
                <w:rFonts w:ascii="Arial" w:hAnsi="Arial" w:cs="Arial"/>
                <w:sz w:val="24"/>
                <w:szCs w:val="24"/>
              </w:rPr>
            </w:pPr>
            <w:r>
              <w:rPr>
                <w:rFonts w:ascii="Arial" w:hAnsi="Arial" w:cs="Arial"/>
                <w:sz w:val="24"/>
                <w:szCs w:val="24"/>
              </w:rPr>
              <w:t>5</w:t>
            </w:r>
          </w:p>
        </w:tc>
      </w:tr>
      <w:tr w:rsidR="00B31997" w:rsidRPr="00681267" w:rsidTr="00A12D0F">
        <w:trPr>
          <w:trHeight w:val="454"/>
        </w:trPr>
        <w:tc>
          <w:tcPr>
            <w:tcW w:w="550" w:type="dxa"/>
          </w:tcPr>
          <w:p w:rsidR="00B31997" w:rsidRPr="00681267" w:rsidRDefault="00B31997" w:rsidP="00A12D0F">
            <w:pPr>
              <w:rPr>
                <w:rFonts w:ascii="Arial" w:hAnsi="Arial" w:cs="Arial"/>
                <w:sz w:val="24"/>
                <w:szCs w:val="24"/>
              </w:rPr>
            </w:pPr>
            <w:r w:rsidRPr="00681267">
              <w:rPr>
                <w:rFonts w:ascii="Arial" w:hAnsi="Arial" w:cs="Arial"/>
                <w:sz w:val="24"/>
                <w:szCs w:val="24"/>
              </w:rPr>
              <w:t>3.</w:t>
            </w:r>
          </w:p>
        </w:tc>
        <w:tc>
          <w:tcPr>
            <w:tcW w:w="6758" w:type="dxa"/>
          </w:tcPr>
          <w:p w:rsidR="00B31997" w:rsidRPr="00681267" w:rsidRDefault="00B31997" w:rsidP="00A12D0F">
            <w:pPr>
              <w:rPr>
                <w:rFonts w:ascii="Arial" w:hAnsi="Arial" w:cs="Arial"/>
                <w:sz w:val="24"/>
                <w:szCs w:val="24"/>
              </w:rPr>
            </w:pPr>
            <w:r w:rsidRPr="00681267">
              <w:rPr>
                <w:rFonts w:ascii="Arial" w:hAnsi="Arial" w:cs="Arial"/>
                <w:sz w:val="24"/>
                <w:szCs w:val="24"/>
              </w:rPr>
              <w:t xml:space="preserve">Key information, events, and interventions </w:t>
            </w:r>
          </w:p>
          <w:p w:rsidR="00B31997" w:rsidRPr="00681267" w:rsidRDefault="00B31997" w:rsidP="00A12D0F">
            <w:pPr>
              <w:rPr>
                <w:rFonts w:ascii="Arial" w:hAnsi="Arial" w:cs="Arial"/>
                <w:sz w:val="24"/>
                <w:szCs w:val="24"/>
              </w:rPr>
            </w:pPr>
          </w:p>
        </w:tc>
        <w:tc>
          <w:tcPr>
            <w:tcW w:w="1220" w:type="dxa"/>
          </w:tcPr>
          <w:p w:rsidR="00B31997" w:rsidRPr="00681267" w:rsidRDefault="007461C1" w:rsidP="00A12D0F">
            <w:pPr>
              <w:rPr>
                <w:rFonts w:ascii="Arial" w:hAnsi="Arial" w:cs="Arial"/>
                <w:sz w:val="24"/>
                <w:szCs w:val="24"/>
              </w:rPr>
            </w:pPr>
            <w:r>
              <w:rPr>
                <w:rFonts w:ascii="Arial" w:hAnsi="Arial" w:cs="Arial"/>
                <w:sz w:val="24"/>
                <w:szCs w:val="24"/>
              </w:rPr>
              <w:t>8</w:t>
            </w:r>
          </w:p>
        </w:tc>
      </w:tr>
      <w:tr w:rsidR="00B31997" w:rsidRPr="00681267" w:rsidTr="00A12D0F">
        <w:trPr>
          <w:trHeight w:val="454"/>
        </w:trPr>
        <w:tc>
          <w:tcPr>
            <w:tcW w:w="550" w:type="dxa"/>
          </w:tcPr>
          <w:p w:rsidR="00B31997" w:rsidRPr="00681267" w:rsidRDefault="00B31997" w:rsidP="00A12D0F">
            <w:pPr>
              <w:rPr>
                <w:rFonts w:ascii="Arial" w:hAnsi="Arial" w:cs="Arial"/>
                <w:sz w:val="24"/>
                <w:szCs w:val="24"/>
              </w:rPr>
            </w:pPr>
            <w:r w:rsidRPr="00681267">
              <w:rPr>
                <w:rFonts w:ascii="Arial" w:hAnsi="Arial" w:cs="Arial"/>
                <w:sz w:val="24"/>
                <w:szCs w:val="24"/>
              </w:rPr>
              <w:t>4.</w:t>
            </w:r>
          </w:p>
        </w:tc>
        <w:tc>
          <w:tcPr>
            <w:tcW w:w="6758" w:type="dxa"/>
          </w:tcPr>
          <w:p w:rsidR="00B31997" w:rsidRPr="00681267" w:rsidRDefault="00B31997" w:rsidP="00A12D0F">
            <w:pPr>
              <w:rPr>
                <w:rFonts w:ascii="Arial" w:hAnsi="Arial" w:cs="Arial"/>
                <w:sz w:val="24"/>
                <w:szCs w:val="24"/>
              </w:rPr>
            </w:pPr>
            <w:r w:rsidRPr="00681267">
              <w:rPr>
                <w:rFonts w:ascii="Arial" w:hAnsi="Arial" w:cs="Arial"/>
                <w:sz w:val="24"/>
                <w:szCs w:val="24"/>
              </w:rPr>
              <w:t>Findings and analysis</w:t>
            </w:r>
          </w:p>
          <w:p w:rsidR="00B31997" w:rsidRPr="00681267" w:rsidRDefault="00B31997" w:rsidP="00A12D0F">
            <w:pPr>
              <w:rPr>
                <w:rFonts w:ascii="Arial" w:hAnsi="Arial" w:cs="Arial"/>
                <w:sz w:val="24"/>
                <w:szCs w:val="24"/>
              </w:rPr>
            </w:pPr>
          </w:p>
        </w:tc>
        <w:tc>
          <w:tcPr>
            <w:tcW w:w="1220" w:type="dxa"/>
          </w:tcPr>
          <w:p w:rsidR="00B31997" w:rsidRPr="00681267" w:rsidRDefault="00476CD0" w:rsidP="007461C1">
            <w:pPr>
              <w:rPr>
                <w:rFonts w:ascii="Arial" w:hAnsi="Arial" w:cs="Arial"/>
                <w:sz w:val="24"/>
                <w:szCs w:val="24"/>
              </w:rPr>
            </w:pPr>
            <w:r>
              <w:rPr>
                <w:rFonts w:ascii="Arial" w:hAnsi="Arial" w:cs="Arial"/>
                <w:sz w:val="24"/>
                <w:szCs w:val="24"/>
              </w:rPr>
              <w:t>1</w:t>
            </w:r>
            <w:r w:rsidR="007461C1">
              <w:rPr>
                <w:rFonts w:ascii="Arial" w:hAnsi="Arial" w:cs="Arial"/>
                <w:sz w:val="24"/>
                <w:szCs w:val="24"/>
              </w:rPr>
              <w:t>3</w:t>
            </w:r>
          </w:p>
        </w:tc>
      </w:tr>
      <w:tr w:rsidR="00A84CE2" w:rsidRPr="00681267" w:rsidTr="00A12D0F">
        <w:trPr>
          <w:trHeight w:val="454"/>
        </w:trPr>
        <w:tc>
          <w:tcPr>
            <w:tcW w:w="550" w:type="dxa"/>
          </w:tcPr>
          <w:p w:rsidR="00A84CE2" w:rsidRPr="00681267" w:rsidRDefault="00A84CE2" w:rsidP="004749C9">
            <w:pPr>
              <w:rPr>
                <w:rFonts w:ascii="Arial" w:hAnsi="Arial" w:cs="Arial"/>
                <w:sz w:val="24"/>
                <w:szCs w:val="24"/>
              </w:rPr>
            </w:pPr>
            <w:r>
              <w:rPr>
                <w:rFonts w:ascii="Arial" w:hAnsi="Arial" w:cs="Arial"/>
                <w:sz w:val="24"/>
                <w:szCs w:val="24"/>
              </w:rPr>
              <w:t>5</w:t>
            </w:r>
            <w:r w:rsidRPr="00681267">
              <w:rPr>
                <w:rFonts w:ascii="Arial" w:hAnsi="Arial" w:cs="Arial"/>
                <w:sz w:val="24"/>
                <w:szCs w:val="24"/>
              </w:rPr>
              <w:t xml:space="preserve">. </w:t>
            </w:r>
          </w:p>
        </w:tc>
        <w:tc>
          <w:tcPr>
            <w:tcW w:w="6758" w:type="dxa"/>
          </w:tcPr>
          <w:p w:rsidR="00A84CE2" w:rsidRPr="00681267" w:rsidDel="00E90702" w:rsidRDefault="00A84CE2" w:rsidP="004749C9">
            <w:pPr>
              <w:rPr>
                <w:rFonts w:ascii="Arial" w:hAnsi="Arial" w:cs="Arial"/>
                <w:sz w:val="24"/>
                <w:szCs w:val="24"/>
              </w:rPr>
            </w:pPr>
            <w:r w:rsidRPr="00681267">
              <w:rPr>
                <w:rFonts w:ascii="Arial" w:hAnsi="Arial" w:cs="Arial"/>
                <w:sz w:val="24"/>
                <w:szCs w:val="24"/>
              </w:rPr>
              <w:t>Recommendations</w:t>
            </w:r>
          </w:p>
        </w:tc>
        <w:tc>
          <w:tcPr>
            <w:tcW w:w="1220" w:type="dxa"/>
          </w:tcPr>
          <w:p w:rsidR="00A84CE2" w:rsidRPr="00681267" w:rsidRDefault="001B2026" w:rsidP="007461C1">
            <w:pPr>
              <w:rPr>
                <w:rFonts w:ascii="Arial" w:hAnsi="Arial" w:cs="Arial"/>
                <w:sz w:val="24"/>
                <w:szCs w:val="24"/>
              </w:rPr>
            </w:pPr>
            <w:r>
              <w:rPr>
                <w:rFonts w:ascii="Arial" w:hAnsi="Arial" w:cs="Arial"/>
                <w:sz w:val="24"/>
                <w:szCs w:val="24"/>
              </w:rPr>
              <w:t>1</w:t>
            </w:r>
            <w:r w:rsidR="007461C1">
              <w:rPr>
                <w:rFonts w:ascii="Arial" w:hAnsi="Arial" w:cs="Arial"/>
                <w:sz w:val="24"/>
                <w:szCs w:val="24"/>
              </w:rPr>
              <w:t>9</w:t>
            </w:r>
          </w:p>
        </w:tc>
      </w:tr>
      <w:tr w:rsidR="00A84CE2" w:rsidRPr="00681267" w:rsidTr="00A12D0F">
        <w:trPr>
          <w:trHeight w:val="454"/>
        </w:trPr>
        <w:tc>
          <w:tcPr>
            <w:tcW w:w="550" w:type="dxa"/>
          </w:tcPr>
          <w:p w:rsidR="00A84CE2" w:rsidRPr="00681267" w:rsidRDefault="00A84CE2" w:rsidP="00A12D0F">
            <w:pPr>
              <w:rPr>
                <w:rFonts w:ascii="Arial" w:hAnsi="Arial" w:cs="Arial"/>
                <w:sz w:val="24"/>
                <w:szCs w:val="24"/>
              </w:rPr>
            </w:pPr>
          </w:p>
        </w:tc>
        <w:tc>
          <w:tcPr>
            <w:tcW w:w="6758" w:type="dxa"/>
          </w:tcPr>
          <w:p w:rsidR="00A84CE2" w:rsidRPr="00681267" w:rsidDel="00E90702" w:rsidRDefault="00A84CE2" w:rsidP="00A12D0F">
            <w:pPr>
              <w:rPr>
                <w:rFonts w:ascii="Arial" w:hAnsi="Arial" w:cs="Arial"/>
                <w:sz w:val="24"/>
                <w:szCs w:val="24"/>
              </w:rPr>
            </w:pPr>
          </w:p>
        </w:tc>
        <w:tc>
          <w:tcPr>
            <w:tcW w:w="1220" w:type="dxa"/>
          </w:tcPr>
          <w:p w:rsidR="00A84CE2" w:rsidRPr="00681267" w:rsidRDefault="00A84CE2" w:rsidP="00A12D0F">
            <w:pPr>
              <w:rPr>
                <w:rFonts w:ascii="Arial" w:hAnsi="Arial" w:cs="Arial"/>
                <w:sz w:val="24"/>
                <w:szCs w:val="24"/>
              </w:rPr>
            </w:pPr>
          </w:p>
        </w:tc>
      </w:tr>
      <w:tr w:rsidR="00A84CE2" w:rsidRPr="00681267" w:rsidTr="00A12D0F">
        <w:trPr>
          <w:trHeight w:val="454"/>
        </w:trPr>
        <w:tc>
          <w:tcPr>
            <w:tcW w:w="550" w:type="dxa"/>
          </w:tcPr>
          <w:p w:rsidR="00A84CE2" w:rsidRPr="00681267" w:rsidRDefault="00A84CE2" w:rsidP="00A12D0F">
            <w:pPr>
              <w:rPr>
                <w:rFonts w:ascii="Arial" w:hAnsi="Arial" w:cs="Arial"/>
                <w:sz w:val="24"/>
                <w:szCs w:val="24"/>
              </w:rPr>
            </w:pPr>
          </w:p>
        </w:tc>
        <w:tc>
          <w:tcPr>
            <w:tcW w:w="6758" w:type="dxa"/>
          </w:tcPr>
          <w:p w:rsidR="00A84CE2" w:rsidRPr="00681267" w:rsidRDefault="00A84CE2" w:rsidP="00A12D0F">
            <w:pPr>
              <w:pStyle w:val="ListParagraph"/>
            </w:pPr>
          </w:p>
        </w:tc>
        <w:tc>
          <w:tcPr>
            <w:tcW w:w="1220" w:type="dxa"/>
          </w:tcPr>
          <w:p w:rsidR="00A84CE2" w:rsidRPr="00681267" w:rsidRDefault="00A84CE2" w:rsidP="00A12D0F">
            <w:pPr>
              <w:rPr>
                <w:rFonts w:ascii="Arial" w:hAnsi="Arial" w:cs="Arial"/>
                <w:sz w:val="24"/>
                <w:szCs w:val="24"/>
              </w:rPr>
            </w:pPr>
          </w:p>
        </w:tc>
      </w:tr>
    </w:tbl>
    <w:p w:rsidR="00B31997" w:rsidRPr="00681267" w:rsidRDefault="00B31997">
      <w:pPr>
        <w:rPr>
          <w:rFonts w:ascii="Arial" w:hAnsi="Arial" w:cs="Arial"/>
          <w:sz w:val="24"/>
          <w:szCs w:val="24"/>
        </w:rPr>
      </w:pPr>
    </w:p>
    <w:p w:rsidR="00B31997" w:rsidRPr="00E26175" w:rsidRDefault="00B31997">
      <w:pPr>
        <w:rPr>
          <w:rFonts w:ascii="Arial" w:hAnsi="Arial" w:cs="Arial"/>
          <w:b/>
          <w:sz w:val="28"/>
          <w:szCs w:val="28"/>
        </w:rPr>
      </w:pPr>
      <w:r w:rsidRPr="00681267">
        <w:rPr>
          <w:rFonts w:ascii="Arial" w:hAnsi="Arial" w:cs="Arial"/>
          <w:sz w:val="24"/>
          <w:szCs w:val="24"/>
        </w:rPr>
        <w:br w:type="page"/>
      </w:r>
      <w:r w:rsidRPr="00E26175">
        <w:rPr>
          <w:rFonts w:ascii="Arial" w:hAnsi="Arial" w:cs="Arial"/>
          <w:b/>
          <w:sz w:val="28"/>
          <w:szCs w:val="28"/>
        </w:rPr>
        <w:lastRenderedPageBreak/>
        <w:t>Acknowledgements</w:t>
      </w:r>
    </w:p>
    <w:p w:rsidR="0077406F" w:rsidRPr="00681267" w:rsidRDefault="0077406F" w:rsidP="0077406F">
      <w:pPr>
        <w:jc w:val="both"/>
        <w:rPr>
          <w:rFonts w:ascii="Arial" w:hAnsi="Arial" w:cs="Arial"/>
          <w:sz w:val="24"/>
          <w:szCs w:val="24"/>
        </w:rPr>
      </w:pPr>
      <w:r w:rsidRPr="00681267">
        <w:rPr>
          <w:rFonts w:ascii="Arial" w:hAnsi="Arial" w:cs="Arial"/>
          <w:sz w:val="24"/>
          <w:szCs w:val="24"/>
        </w:rPr>
        <w:t xml:space="preserve">I should like to thank all those who contributed to this </w:t>
      </w:r>
      <w:r w:rsidR="00BB0FB4">
        <w:rPr>
          <w:rFonts w:ascii="Arial" w:hAnsi="Arial" w:cs="Arial"/>
          <w:sz w:val="24"/>
          <w:szCs w:val="24"/>
        </w:rPr>
        <w:t>Safeguarding</w:t>
      </w:r>
      <w:r w:rsidRPr="00681267">
        <w:rPr>
          <w:rFonts w:ascii="Arial" w:hAnsi="Arial" w:cs="Arial"/>
          <w:sz w:val="24"/>
          <w:szCs w:val="24"/>
        </w:rPr>
        <w:t xml:space="preserve"> Adult</w:t>
      </w:r>
      <w:r w:rsidR="00BB0FB4">
        <w:rPr>
          <w:rFonts w:ascii="Arial" w:hAnsi="Arial" w:cs="Arial"/>
          <w:sz w:val="24"/>
          <w:szCs w:val="24"/>
        </w:rPr>
        <w:t>s</w:t>
      </w:r>
      <w:r w:rsidRPr="00681267">
        <w:rPr>
          <w:rFonts w:ascii="Arial" w:hAnsi="Arial" w:cs="Arial"/>
          <w:sz w:val="24"/>
          <w:szCs w:val="24"/>
        </w:rPr>
        <w:t xml:space="preserve"> Review (SAR). These include the SAR Panel members, staff who provided chronologies and reports, and those who attended the ‘Share and Learn’ event. </w:t>
      </w:r>
    </w:p>
    <w:p w:rsidR="0077406F" w:rsidRPr="00681267" w:rsidRDefault="0077406F" w:rsidP="0077406F">
      <w:pPr>
        <w:jc w:val="both"/>
        <w:rPr>
          <w:rFonts w:ascii="Arial" w:hAnsi="Arial" w:cs="Arial"/>
          <w:sz w:val="24"/>
          <w:szCs w:val="24"/>
        </w:rPr>
      </w:pPr>
      <w:r w:rsidRPr="00681267">
        <w:rPr>
          <w:rFonts w:ascii="Arial" w:hAnsi="Arial" w:cs="Arial"/>
          <w:sz w:val="24"/>
          <w:szCs w:val="24"/>
        </w:rPr>
        <w:t xml:space="preserve">I also give my thanks to </w:t>
      </w:r>
      <w:r w:rsidR="00BD3FB9">
        <w:rPr>
          <w:rFonts w:ascii="Arial" w:hAnsi="Arial" w:cs="Arial"/>
          <w:sz w:val="24"/>
          <w:szCs w:val="24"/>
        </w:rPr>
        <w:t>Edward</w:t>
      </w:r>
      <w:r w:rsidR="002C42C3">
        <w:rPr>
          <w:rFonts w:ascii="Arial" w:hAnsi="Arial" w:cs="Arial"/>
          <w:sz w:val="24"/>
          <w:szCs w:val="24"/>
        </w:rPr>
        <w:t>’</w:t>
      </w:r>
      <w:r w:rsidRPr="00681267">
        <w:rPr>
          <w:rFonts w:ascii="Arial" w:hAnsi="Arial" w:cs="Arial"/>
          <w:sz w:val="24"/>
          <w:szCs w:val="24"/>
        </w:rPr>
        <w:t xml:space="preserve">s </w:t>
      </w:r>
      <w:r w:rsidR="00BD3FB9">
        <w:rPr>
          <w:rFonts w:ascii="Arial" w:hAnsi="Arial" w:cs="Arial"/>
          <w:sz w:val="24"/>
          <w:szCs w:val="24"/>
        </w:rPr>
        <w:t>mum</w:t>
      </w:r>
      <w:r w:rsidRPr="00681267">
        <w:rPr>
          <w:rFonts w:ascii="Arial" w:hAnsi="Arial" w:cs="Arial"/>
          <w:sz w:val="24"/>
          <w:szCs w:val="24"/>
        </w:rPr>
        <w:t xml:space="preserve"> and sister who were able in difficult circumstances to meet with me, accompanied by their advocate, and contribute their views about their son/brother, and make recommendations that they </w:t>
      </w:r>
      <w:r w:rsidR="00B357BD" w:rsidRPr="00681267">
        <w:rPr>
          <w:rFonts w:ascii="Arial" w:hAnsi="Arial" w:cs="Arial"/>
          <w:sz w:val="24"/>
          <w:szCs w:val="24"/>
        </w:rPr>
        <w:t xml:space="preserve">believe </w:t>
      </w:r>
      <w:r w:rsidRPr="00681267">
        <w:rPr>
          <w:rFonts w:ascii="Arial" w:hAnsi="Arial" w:cs="Arial"/>
          <w:sz w:val="24"/>
          <w:szCs w:val="24"/>
        </w:rPr>
        <w:t xml:space="preserve">might help others. </w:t>
      </w:r>
    </w:p>
    <w:p w:rsidR="005A5480" w:rsidRPr="00681267" w:rsidRDefault="0077406F" w:rsidP="0077406F">
      <w:pPr>
        <w:rPr>
          <w:rFonts w:ascii="Arial" w:hAnsi="Arial" w:cs="Arial"/>
          <w:sz w:val="24"/>
          <w:szCs w:val="24"/>
        </w:rPr>
      </w:pPr>
      <w:r w:rsidRPr="00681267">
        <w:rPr>
          <w:rFonts w:ascii="Arial" w:hAnsi="Arial" w:cs="Arial"/>
          <w:sz w:val="24"/>
          <w:szCs w:val="24"/>
        </w:rPr>
        <w:t xml:space="preserve">The management of SARs places significant responsibilities on what </w:t>
      </w:r>
      <w:r w:rsidR="00F52F8E">
        <w:rPr>
          <w:rFonts w:ascii="Arial" w:hAnsi="Arial" w:cs="Arial"/>
          <w:sz w:val="24"/>
          <w:szCs w:val="24"/>
        </w:rPr>
        <w:t>is</w:t>
      </w:r>
      <w:r w:rsidRPr="00681267">
        <w:rPr>
          <w:rFonts w:ascii="Arial" w:hAnsi="Arial" w:cs="Arial"/>
          <w:sz w:val="24"/>
          <w:szCs w:val="24"/>
        </w:rPr>
        <w:t xml:space="preserve"> often a small and very busy group of local authority staff. I should like to thank those staff for their support and skilled management of this Review</w:t>
      </w:r>
      <w:r w:rsidR="007E5045" w:rsidRPr="00681267">
        <w:rPr>
          <w:rFonts w:ascii="Arial" w:hAnsi="Arial" w:cs="Arial"/>
          <w:sz w:val="24"/>
          <w:szCs w:val="24"/>
        </w:rPr>
        <w:t>.</w:t>
      </w:r>
      <w:r w:rsidRPr="00681267">
        <w:rPr>
          <w:rFonts w:ascii="Arial" w:hAnsi="Arial" w:cs="Arial"/>
          <w:sz w:val="24"/>
          <w:szCs w:val="24"/>
        </w:rPr>
        <w:t xml:space="preserve"> </w:t>
      </w:r>
      <w:r w:rsidR="005A5480" w:rsidRPr="00681267">
        <w:rPr>
          <w:rFonts w:ascii="Arial" w:hAnsi="Arial" w:cs="Arial"/>
          <w:sz w:val="24"/>
          <w:szCs w:val="24"/>
        </w:rPr>
        <w:br w:type="page"/>
      </w:r>
    </w:p>
    <w:tbl>
      <w:tblPr>
        <w:tblStyle w:val="TableGrid"/>
        <w:tblW w:w="9242" w:type="dxa"/>
        <w:tblLayout w:type="fixed"/>
        <w:tblLook w:val="04E0" w:firstRow="1" w:lastRow="1" w:firstColumn="1" w:lastColumn="0" w:noHBand="0" w:noVBand="1"/>
      </w:tblPr>
      <w:tblGrid>
        <w:gridCol w:w="1242"/>
        <w:gridCol w:w="8000"/>
      </w:tblGrid>
      <w:tr w:rsidR="00A335EC" w:rsidRPr="00681267" w:rsidTr="00A335EC">
        <w:tc>
          <w:tcPr>
            <w:tcW w:w="1242" w:type="dxa"/>
          </w:tcPr>
          <w:p w:rsidR="00A335EC" w:rsidRPr="008579E3" w:rsidRDefault="00A335EC">
            <w:pPr>
              <w:rPr>
                <w:rFonts w:ascii="Arial" w:hAnsi="Arial" w:cs="Arial"/>
                <w:sz w:val="28"/>
                <w:szCs w:val="28"/>
              </w:rPr>
            </w:pPr>
            <w:r w:rsidRPr="008579E3">
              <w:rPr>
                <w:rFonts w:ascii="Arial" w:hAnsi="Arial" w:cs="Arial"/>
                <w:sz w:val="28"/>
                <w:szCs w:val="28"/>
              </w:rPr>
              <w:lastRenderedPageBreak/>
              <w:t>1.</w:t>
            </w:r>
          </w:p>
        </w:tc>
        <w:tc>
          <w:tcPr>
            <w:tcW w:w="8000" w:type="dxa"/>
          </w:tcPr>
          <w:p w:rsidR="00A335EC" w:rsidRPr="008579E3" w:rsidRDefault="00A335EC" w:rsidP="00C311A1">
            <w:pPr>
              <w:rPr>
                <w:rFonts w:ascii="Arial" w:hAnsi="Arial" w:cs="Arial"/>
                <w:sz w:val="28"/>
                <w:szCs w:val="28"/>
              </w:rPr>
            </w:pPr>
            <w:r w:rsidRPr="008579E3">
              <w:rPr>
                <w:rFonts w:ascii="Arial" w:hAnsi="Arial" w:cs="Arial"/>
                <w:b/>
                <w:sz w:val="28"/>
                <w:szCs w:val="28"/>
              </w:rPr>
              <w:t>Introduction and reason for this S</w:t>
            </w:r>
            <w:r>
              <w:rPr>
                <w:rFonts w:ascii="Arial" w:hAnsi="Arial" w:cs="Arial"/>
                <w:b/>
                <w:sz w:val="28"/>
                <w:szCs w:val="28"/>
              </w:rPr>
              <w:t>afeguarding</w:t>
            </w:r>
            <w:r w:rsidRPr="008579E3">
              <w:rPr>
                <w:rFonts w:ascii="Arial" w:hAnsi="Arial" w:cs="Arial"/>
                <w:b/>
                <w:sz w:val="28"/>
                <w:szCs w:val="28"/>
              </w:rPr>
              <w:t xml:space="preserve"> Adult</w:t>
            </w:r>
            <w:r>
              <w:rPr>
                <w:rFonts w:ascii="Arial" w:hAnsi="Arial" w:cs="Arial"/>
                <w:b/>
                <w:sz w:val="28"/>
                <w:szCs w:val="28"/>
              </w:rPr>
              <w:t>s</w:t>
            </w:r>
            <w:r w:rsidRPr="008579E3">
              <w:rPr>
                <w:rFonts w:ascii="Arial" w:hAnsi="Arial" w:cs="Arial"/>
                <w:b/>
                <w:sz w:val="28"/>
                <w:szCs w:val="28"/>
              </w:rPr>
              <w:t xml:space="preserve"> Review (SAR)</w:t>
            </w: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1.1</w:t>
            </w:r>
          </w:p>
        </w:tc>
        <w:tc>
          <w:tcPr>
            <w:tcW w:w="8000" w:type="dxa"/>
          </w:tcPr>
          <w:p w:rsidR="00A335EC" w:rsidRPr="00681267" w:rsidRDefault="00A335EC" w:rsidP="002D74F9">
            <w:pPr>
              <w:rPr>
                <w:rFonts w:ascii="Arial" w:hAnsi="Arial" w:cs="Arial"/>
                <w:sz w:val="24"/>
                <w:szCs w:val="24"/>
              </w:rPr>
            </w:pPr>
            <w:r>
              <w:rPr>
                <w:rFonts w:ascii="Arial" w:hAnsi="Arial" w:cs="Arial"/>
                <w:sz w:val="24"/>
                <w:szCs w:val="24"/>
              </w:rPr>
              <w:t>Edward</w:t>
            </w:r>
            <w:r w:rsidRPr="00681267">
              <w:rPr>
                <w:rFonts w:ascii="Arial" w:hAnsi="Arial" w:cs="Arial"/>
                <w:sz w:val="24"/>
                <w:szCs w:val="24"/>
              </w:rPr>
              <w:t xml:space="preserve"> died at the age of 51 </w:t>
            </w:r>
            <w:r>
              <w:rPr>
                <w:rFonts w:ascii="Arial" w:hAnsi="Arial" w:cs="Arial"/>
                <w:sz w:val="24"/>
                <w:szCs w:val="24"/>
              </w:rPr>
              <w:t>in</w:t>
            </w:r>
            <w:r w:rsidRPr="00681267">
              <w:rPr>
                <w:rFonts w:ascii="Arial" w:hAnsi="Arial" w:cs="Arial"/>
                <w:sz w:val="24"/>
                <w:szCs w:val="24"/>
              </w:rPr>
              <w:t xml:space="preserve"> October 2015. </w:t>
            </w:r>
            <w:r>
              <w:rPr>
                <w:rFonts w:ascii="Arial" w:hAnsi="Arial" w:cs="Arial"/>
                <w:sz w:val="24"/>
                <w:szCs w:val="24"/>
              </w:rPr>
              <w:t>He</w:t>
            </w:r>
            <w:r w:rsidRPr="00681267">
              <w:rPr>
                <w:rFonts w:ascii="Arial" w:hAnsi="Arial" w:cs="Arial"/>
                <w:sz w:val="24"/>
                <w:szCs w:val="24"/>
              </w:rPr>
              <w:t xml:space="preserve"> had a number of physical and learning disabilities and was, therefore, </w:t>
            </w:r>
            <w:r>
              <w:rPr>
                <w:rFonts w:ascii="Arial" w:hAnsi="Arial" w:cs="Arial"/>
                <w:sz w:val="24"/>
                <w:szCs w:val="24"/>
              </w:rPr>
              <w:t>regarded by professional staff as a vulnerable adult and potentially</w:t>
            </w:r>
            <w:r w:rsidRPr="00681267">
              <w:rPr>
                <w:rFonts w:ascii="Arial" w:hAnsi="Arial" w:cs="Arial"/>
                <w:sz w:val="24"/>
                <w:szCs w:val="24"/>
              </w:rPr>
              <w:t xml:space="preserve"> at risk </w:t>
            </w:r>
            <w:r>
              <w:rPr>
                <w:rFonts w:ascii="Arial" w:hAnsi="Arial" w:cs="Arial"/>
                <w:sz w:val="24"/>
                <w:szCs w:val="24"/>
              </w:rPr>
              <w:t xml:space="preserve">of abuse or neglect </w:t>
            </w:r>
            <w:r w:rsidRPr="00681267">
              <w:rPr>
                <w:rFonts w:ascii="Arial" w:hAnsi="Arial" w:cs="Arial"/>
                <w:sz w:val="24"/>
                <w:szCs w:val="24"/>
              </w:rPr>
              <w:t xml:space="preserve">and in need of protection. </w:t>
            </w:r>
            <w:r>
              <w:rPr>
                <w:rFonts w:ascii="Arial" w:hAnsi="Arial" w:cs="Arial"/>
                <w:sz w:val="24"/>
                <w:szCs w:val="24"/>
              </w:rPr>
              <w:t>Over his lifetime he and his</w:t>
            </w:r>
            <w:r w:rsidRPr="00681267">
              <w:rPr>
                <w:rFonts w:ascii="Arial" w:hAnsi="Arial" w:cs="Arial"/>
                <w:sz w:val="24"/>
                <w:szCs w:val="24"/>
              </w:rPr>
              <w:t xml:space="preserve"> family had some </w:t>
            </w:r>
            <w:r>
              <w:rPr>
                <w:rFonts w:ascii="Arial" w:hAnsi="Arial" w:cs="Arial"/>
                <w:sz w:val="24"/>
                <w:szCs w:val="24"/>
              </w:rPr>
              <w:t xml:space="preserve">brief </w:t>
            </w:r>
            <w:r w:rsidRPr="00681267">
              <w:rPr>
                <w:rFonts w:ascii="Arial" w:hAnsi="Arial" w:cs="Arial"/>
                <w:sz w:val="24"/>
                <w:szCs w:val="24"/>
              </w:rPr>
              <w:t xml:space="preserve">contact with local </w:t>
            </w:r>
            <w:r>
              <w:rPr>
                <w:rFonts w:ascii="Arial" w:hAnsi="Arial" w:cs="Arial"/>
                <w:sz w:val="24"/>
                <w:szCs w:val="24"/>
              </w:rPr>
              <w:t xml:space="preserve">public organisations. In the last 2 years of his life these contacts became more frequent, and included </w:t>
            </w:r>
            <w:r w:rsidRPr="00681267">
              <w:rPr>
                <w:rFonts w:ascii="Arial" w:hAnsi="Arial" w:cs="Arial"/>
                <w:sz w:val="24"/>
                <w:szCs w:val="24"/>
              </w:rPr>
              <w:t>police, health, housing, and social service organisations</w:t>
            </w:r>
            <w:r>
              <w:rPr>
                <w:rFonts w:ascii="Arial" w:hAnsi="Arial" w:cs="Arial"/>
                <w:sz w:val="24"/>
                <w:szCs w:val="24"/>
              </w:rPr>
              <w:t>.</w:t>
            </w:r>
            <w:r w:rsidRPr="00681267">
              <w:rPr>
                <w:rFonts w:ascii="Arial" w:hAnsi="Arial" w:cs="Arial"/>
                <w:sz w:val="24"/>
                <w:szCs w:val="24"/>
              </w:rPr>
              <w:t xml:space="preserve"> </w:t>
            </w:r>
          </w:p>
          <w:p w:rsidR="00A335EC" w:rsidRPr="00681267" w:rsidRDefault="00A335EC" w:rsidP="002D74F9">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1.2</w:t>
            </w:r>
          </w:p>
        </w:tc>
        <w:tc>
          <w:tcPr>
            <w:tcW w:w="8000" w:type="dxa"/>
          </w:tcPr>
          <w:p w:rsidR="00A335EC" w:rsidRPr="00681267" w:rsidRDefault="00B31327" w:rsidP="00AE6AD3">
            <w:pPr>
              <w:rPr>
                <w:rFonts w:ascii="Arial" w:hAnsi="Arial" w:cs="Arial"/>
                <w:sz w:val="24"/>
                <w:szCs w:val="24"/>
              </w:rPr>
            </w:pPr>
            <w:r>
              <w:rPr>
                <w:rFonts w:ascii="Arial" w:hAnsi="Arial" w:cs="Arial"/>
                <w:sz w:val="24"/>
                <w:szCs w:val="24"/>
              </w:rPr>
              <w:t>In early</w:t>
            </w:r>
            <w:r w:rsidR="00A335EC" w:rsidRPr="00681267">
              <w:rPr>
                <w:rFonts w:ascii="Arial" w:hAnsi="Arial" w:cs="Arial"/>
                <w:sz w:val="24"/>
                <w:szCs w:val="24"/>
              </w:rPr>
              <w:t xml:space="preserve"> October 2015 Merseyside Police and North West Ambulance Service were called to his family home where he lived with his </w:t>
            </w:r>
            <w:r w:rsidR="00A335EC">
              <w:rPr>
                <w:rFonts w:ascii="Arial" w:hAnsi="Arial" w:cs="Arial"/>
                <w:sz w:val="24"/>
                <w:szCs w:val="24"/>
              </w:rPr>
              <w:t>mum</w:t>
            </w:r>
            <w:r w:rsidR="00A335EC" w:rsidRPr="00681267">
              <w:rPr>
                <w:rFonts w:ascii="Arial" w:hAnsi="Arial" w:cs="Arial"/>
                <w:sz w:val="24"/>
                <w:szCs w:val="24"/>
              </w:rPr>
              <w:t xml:space="preserve"> and 2 </w:t>
            </w:r>
            <w:r w:rsidR="00A335EC" w:rsidRPr="00C24F53">
              <w:rPr>
                <w:rFonts w:ascii="Arial" w:hAnsi="Arial" w:cs="Arial"/>
                <w:sz w:val="24"/>
                <w:szCs w:val="24"/>
              </w:rPr>
              <w:t>adult</w:t>
            </w:r>
            <w:r w:rsidR="00A335EC">
              <w:rPr>
                <w:rFonts w:ascii="Arial" w:hAnsi="Arial" w:cs="Arial"/>
                <w:sz w:val="24"/>
                <w:szCs w:val="24"/>
              </w:rPr>
              <w:t xml:space="preserve"> </w:t>
            </w:r>
            <w:r w:rsidR="00A335EC" w:rsidRPr="00681267">
              <w:rPr>
                <w:rFonts w:ascii="Arial" w:hAnsi="Arial" w:cs="Arial"/>
                <w:sz w:val="24"/>
                <w:szCs w:val="24"/>
              </w:rPr>
              <w:t xml:space="preserve">younger sisters. Police officers who attended said they were told by his </w:t>
            </w:r>
            <w:r w:rsidR="00A335EC">
              <w:rPr>
                <w:rFonts w:ascii="Arial" w:hAnsi="Arial" w:cs="Arial"/>
                <w:sz w:val="24"/>
                <w:szCs w:val="24"/>
              </w:rPr>
              <w:t>mum</w:t>
            </w:r>
            <w:r w:rsidR="00A335EC" w:rsidRPr="00681267">
              <w:rPr>
                <w:rFonts w:ascii="Arial" w:hAnsi="Arial" w:cs="Arial"/>
                <w:sz w:val="24"/>
                <w:szCs w:val="24"/>
              </w:rPr>
              <w:t xml:space="preserve"> that </w:t>
            </w:r>
            <w:r w:rsidR="00A335EC">
              <w:rPr>
                <w:rFonts w:ascii="Arial" w:hAnsi="Arial" w:cs="Arial"/>
                <w:sz w:val="24"/>
                <w:szCs w:val="24"/>
              </w:rPr>
              <w:t>Edward</w:t>
            </w:r>
            <w:r w:rsidR="00A335EC" w:rsidRPr="00681267">
              <w:rPr>
                <w:rFonts w:ascii="Arial" w:hAnsi="Arial" w:cs="Arial"/>
                <w:sz w:val="24"/>
                <w:szCs w:val="24"/>
              </w:rPr>
              <w:t xml:space="preserve"> had been watching the traffic from the front living room, when he suddenly became ill. He was taken to University Hospital Aintree by ambulance where he was pronounced dead.</w:t>
            </w:r>
          </w:p>
          <w:p w:rsidR="00A335EC" w:rsidRPr="00681267" w:rsidRDefault="00A335EC" w:rsidP="00AE6AD3">
            <w:pPr>
              <w:rPr>
                <w:rFonts w:ascii="Arial" w:hAnsi="Arial" w:cs="Arial"/>
                <w:sz w:val="24"/>
                <w:szCs w:val="24"/>
              </w:rPr>
            </w:pPr>
          </w:p>
        </w:tc>
      </w:tr>
      <w:tr w:rsidR="00A335EC" w:rsidRPr="00681267" w:rsidTr="00A335EC">
        <w:tc>
          <w:tcPr>
            <w:tcW w:w="1242" w:type="dxa"/>
          </w:tcPr>
          <w:p w:rsidR="00A335EC" w:rsidRPr="00681267" w:rsidRDefault="00A335EC" w:rsidP="006F422B">
            <w:pPr>
              <w:rPr>
                <w:rFonts w:ascii="Arial" w:hAnsi="Arial" w:cs="Arial"/>
                <w:sz w:val="24"/>
                <w:szCs w:val="24"/>
              </w:rPr>
            </w:pPr>
            <w:r w:rsidRPr="00681267">
              <w:rPr>
                <w:rFonts w:ascii="Arial" w:hAnsi="Arial" w:cs="Arial"/>
                <w:sz w:val="24"/>
                <w:szCs w:val="24"/>
              </w:rPr>
              <w:t>1.3</w:t>
            </w:r>
          </w:p>
        </w:tc>
        <w:tc>
          <w:tcPr>
            <w:tcW w:w="8000" w:type="dxa"/>
          </w:tcPr>
          <w:p w:rsidR="00A335EC" w:rsidRPr="00681267" w:rsidRDefault="00A335EC" w:rsidP="00D87954">
            <w:pPr>
              <w:rPr>
                <w:rFonts w:ascii="Arial" w:hAnsi="Arial" w:cs="Arial"/>
                <w:sz w:val="24"/>
                <w:szCs w:val="24"/>
              </w:rPr>
            </w:pPr>
            <w:r w:rsidRPr="00681267">
              <w:rPr>
                <w:rFonts w:ascii="Arial" w:hAnsi="Arial" w:cs="Arial"/>
                <w:sz w:val="24"/>
                <w:szCs w:val="24"/>
              </w:rPr>
              <w:t>Merseyside Police carried out an investigation as his death was sudden</w:t>
            </w:r>
            <w:r>
              <w:rPr>
                <w:rFonts w:ascii="Arial" w:hAnsi="Arial" w:cs="Arial"/>
                <w:sz w:val="24"/>
                <w:szCs w:val="24"/>
              </w:rPr>
              <w:t>,</w:t>
            </w:r>
            <w:r w:rsidRPr="00681267">
              <w:rPr>
                <w:rFonts w:ascii="Arial" w:hAnsi="Arial" w:cs="Arial"/>
                <w:sz w:val="24"/>
                <w:szCs w:val="24"/>
              </w:rPr>
              <w:t xml:space="preserve"> unexpected</w:t>
            </w:r>
            <w:r>
              <w:rPr>
                <w:rFonts w:ascii="Arial" w:hAnsi="Arial" w:cs="Arial"/>
                <w:sz w:val="24"/>
                <w:szCs w:val="24"/>
              </w:rPr>
              <w:t xml:space="preserve">, and during the post mortem investigation no medication for </w:t>
            </w:r>
            <w:r w:rsidR="00B31327">
              <w:rPr>
                <w:rFonts w:ascii="Arial" w:hAnsi="Arial" w:cs="Arial"/>
                <w:sz w:val="24"/>
                <w:szCs w:val="24"/>
              </w:rPr>
              <w:t xml:space="preserve">controlling </w:t>
            </w:r>
            <w:r>
              <w:rPr>
                <w:rFonts w:ascii="Arial" w:hAnsi="Arial" w:cs="Arial"/>
                <w:sz w:val="24"/>
                <w:szCs w:val="24"/>
              </w:rPr>
              <w:t>his epilepsy was found to be present</w:t>
            </w:r>
            <w:r w:rsidRPr="00681267">
              <w:rPr>
                <w:rFonts w:ascii="Arial" w:hAnsi="Arial" w:cs="Arial"/>
                <w:sz w:val="24"/>
                <w:szCs w:val="24"/>
              </w:rPr>
              <w:t xml:space="preserve">. </w:t>
            </w:r>
            <w:r>
              <w:rPr>
                <w:rFonts w:ascii="Arial" w:hAnsi="Arial" w:cs="Arial"/>
                <w:sz w:val="24"/>
                <w:szCs w:val="24"/>
              </w:rPr>
              <w:t>After consideration by the Coroner over a number of hearings from December 2015 to December 2016, and the involvement of Merseyside Police, it was found that Edward’s death was from natural causes and, “</w:t>
            </w:r>
            <w:r w:rsidRPr="00052C7B">
              <w:rPr>
                <w:rFonts w:ascii="Arial" w:hAnsi="Arial" w:cs="Arial"/>
                <w:sz w:val="24"/>
                <w:szCs w:val="24"/>
              </w:rPr>
              <w:t>as a result of acute brain swelling with central hernia</w:t>
            </w:r>
            <w:r>
              <w:rPr>
                <w:rFonts w:ascii="Arial" w:hAnsi="Arial" w:cs="Arial"/>
                <w:sz w:val="24"/>
                <w:szCs w:val="24"/>
              </w:rPr>
              <w:t>tion, due to status epilepticus” (epilepsy).</w:t>
            </w:r>
          </w:p>
          <w:p w:rsidR="00A335EC" w:rsidRPr="00681267" w:rsidRDefault="00A335EC" w:rsidP="00D87954">
            <w:pPr>
              <w:rPr>
                <w:rFonts w:ascii="Arial" w:hAnsi="Arial" w:cs="Arial"/>
                <w:sz w:val="24"/>
                <w:szCs w:val="24"/>
              </w:rPr>
            </w:pPr>
          </w:p>
        </w:tc>
      </w:tr>
      <w:tr w:rsidR="00A335EC" w:rsidRPr="00681267" w:rsidTr="00A335EC">
        <w:tc>
          <w:tcPr>
            <w:tcW w:w="1242" w:type="dxa"/>
          </w:tcPr>
          <w:p w:rsidR="00A335EC" w:rsidRDefault="00A335EC" w:rsidP="008C1AC0">
            <w:pPr>
              <w:rPr>
                <w:rFonts w:ascii="Arial" w:hAnsi="Arial" w:cs="Arial"/>
                <w:sz w:val="24"/>
                <w:szCs w:val="24"/>
              </w:rPr>
            </w:pPr>
            <w:r w:rsidRPr="00681267">
              <w:rPr>
                <w:rFonts w:ascii="Arial" w:hAnsi="Arial" w:cs="Arial"/>
                <w:sz w:val="24"/>
                <w:szCs w:val="24"/>
              </w:rPr>
              <w:t>1.</w:t>
            </w:r>
            <w:r>
              <w:rPr>
                <w:rFonts w:ascii="Arial" w:hAnsi="Arial" w:cs="Arial"/>
                <w:sz w:val="24"/>
                <w:szCs w:val="24"/>
              </w:rPr>
              <w:t>4</w:t>
            </w: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7461C1" w:rsidRDefault="007461C1" w:rsidP="008C1AC0">
            <w:pPr>
              <w:rPr>
                <w:rFonts w:ascii="Arial" w:hAnsi="Arial" w:cs="Arial"/>
                <w:sz w:val="24"/>
                <w:szCs w:val="24"/>
              </w:rPr>
            </w:pPr>
          </w:p>
          <w:p w:rsidR="00C311A1" w:rsidRDefault="00C311A1" w:rsidP="008C1AC0">
            <w:pPr>
              <w:rPr>
                <w:rFonts w:ascii="Arial" w:hAnsi="Arial" w:cs="Arial"/>
                <w:sz w:val="24"/>
                <w:szCs w:val="24"/>
              </w:rPr>
            </w:pPr>
          </w:p>
          <w:p w:rsidR="00C311A1" w:rsidRDefault="00C311A1" w:rsidP="008C1AC0">
            <w:pPr>
              <w:rPr>
                <w:rFonts w:ascii="Arial" w:hAnsi="Arial" w:cs="Arial"/>
                <w:sz w:val="24"/>
                <w:szCs w:val="24"/>
              </w:rPr>
            </w:pPr>
          </w:p>
          <w:p w:rsidR="00C311A1" w:rsidRDefault="00C311A1" w:rsidP="008C1AC0">
            <w:pPr>
              <w:rPr>
                <w:rFonts w:ascii="Arial" w:hAnsi="Arial" w:cs="Arial"/>
                <w:sz w:val="24"/>
                <w:szCs w:val="24"/>
              </w:rPr>
            </w:pPr>
          </w:p>
          <w:p w:rsidR="00C311A1" w:rsidRDefault="00C311A1" w:rsidP="008C1AC0">
            <w:pPr>
              <w:rPr>
                <w:rFonts w:ascii="Arial" w:hAnsi="Arial" w:cs="Arial"/>
                <w:sz w:val="24"/>
                <w:szCs w:val="24"/>
              </w:rPr>
            </w:pPr>
          </w:p>
          <w:p w:rsidR="00C311A1" w:rsidRPr="00681267" w:rsidRDefault="00C311A1" w:rsidP="008C1AC0">
            <w:pPr>
              <w:rPr>
                <w:rFonts w:ascii="Arial" w:hAnsi="Arial" w:cs="Arial"/>
                <w:sz w:val="24"/>
                <w:szCs w:val="24"/>
              </w:rPr>
            </w:pPr>
          </w:p>
        </w:tc>
        <w:tc>
          <w:tcPr>
            <w:tcW w:w="8000" w:type="dxa"/>
          </w:tcPr>
          <w:p w:rsidR="00A335EC" w:rsidRDefault="00B31327" w:rsidP="00716852">
            <w:pPr>
              <w:rPr>
                <w:rFonts w:ascii="Arial" w:hAnsi="Arial" w:cs="Arial"/>
                <w:sz w:val="24"/>
                <w:szCs w:val="24"/>
              </w:rPr>
            </w:pPr>
            <w:r w:rsidRPr="00681267">
              <w:rPr>
                <w:rFonts w:ascii="Arial" w:hAnsi="Arial" w:cs="Arial"/>
                <w:sz w:val="24"/>
                <w:szCs w:val="24"/>
              </w:rPr>
              <w:t>Liverpool Safeguarding Adult</w:t>
            </w:r>
            <w:r>
              <w:rPr>
                <w:rFonts w:ascii="Arial" w:hAnsi="Arial" w:cs="Arial"/>
                <w:sz w:val="24"/>
                <w:szCs w:val="24"/>
              </w:rPr>
              <w:t>s</w:t>
            </w:r>
            <w:r w:rsidRPr="00681267">
              <w:rPr>
                <w:rFonts w:ascii="Arial" w:hAnsi="Arial" w:cs="Arial"/>
                <w:sz w:val="24"/>
                <w:szCs w:val="24"/>
              </w:rPr>
              <w:t xml:space="preserve"> Board (LSAB) was informed of </w:t>
            </w:r>
            <w:r>
              <w:rPr>
                <w:rFonts w:ascii="Arial" w:hAnsi="Arial" w:cs="Arial"/>
                <w:sz w:val="24"/>
                <w:szCs w:val="24"/>
              </w:rPr>
              <w:t>Edward</w:t>
            </w:r>
            <w:r w:rsidRPr="00681267">
              <w:rPr>
                <w:rFonts w:ascii="Arial" w:hAnsi="Arial" w:cs="Arial"/>
                <w:sz w:val="24"/>
                <w:szCs w:val="24"/>
              </w:rPr>
              <w:t xml:space="preserve">’s death and </w:t>
            </w:r>
            <w:r>
              <w:rPr>
                <w:rFonts w:ascii="Arial" w:hAnsi="Arial" w:cs="Arial"/>
                <w:sz w:val="24"/>
                <w:szCs w:val="24"/>
              </w:rPr>
              <w:t xml:space="preserve">at </w:t>
            </w:r>
            <w:r w:rsidRPr="00681267">
              <w:rPr>
                <w:rFonts w:ascii="Arial" w:hAnsi="Arial" w:cs="Arial"/>
                <w:sz w:val="24"/>
                <w:szCs w:val="24"/>
              </w:rPr>
              <w:t xml:space="preserve">a subgroup </w:t>
            </w:r>
            <w:r>
              <w:rPr>
                <w:rFonts w:ascii="Arial" w:hAnsi="Arial" w:cs="Arial"/>
                <w:sz w:val="24"/>
                <w:szCs w:val="24"/>
              </w:rPr>
              <w:t xml:space="preserve">meeting </w:t>
            </w:r>
            <w:r w:rsidRPr="00681267">
              <w:rPr>
                <w:rFonts w:ascii="Arial" w:hAnsi="Arial" w:cs="Arial"/>
                <w:sz w:val="24"/>
                <w:szCs w:val="24"/>
              </w:rPr>
              <w:t xml:space="preserve">of the </w:t>
            </w:r>
            <w:r>
              <w:rPr>
                <w:rFonts w:ascii="Arial" w:hAnsi="Arial" w:cs="Arial"/>
                <w:sz w:val="24"/>
                <w:szCs w:val="24"/>
              </w:rPr>
              <w:t>LSAB</w:t>
            </w:r>
            <w:r w:rsidRPr="00681267">
              <w:rPr>
                <w:rFonts w:ascii="Arial" w:hAnsi="Arial" w:cs="Arial"/>
                <w:sz w:val="24"/>
                <w:szCs w:val="24"/>
              </w:rPr>
              <w:t xml:space="preserve"> </w:t>
            </w:r>
            <w:r>
              <w:rPr>
                <w:rFonts w:ascii="Arial" w:hAnsi="Arial" w:cs="Arial"/>
                <w:sz w:val="24"/>
                <w:szCs w:val="24"/>
              </w:rPr>
              <w:t>a</w:t>
            </w:r>
            <w:r w:rsidRPr="00681267">
              <w:rPr>
                <w:rFonts w:ascii="Arial" w:hAnsi="Arial" w:cs="Arial"/>
                <w:sz w:val="24"/>
                <w:szCs w:val="24"/>
              </w:rPr>
              <w:t>greement was reached that the criteria for a S</w:t>
            </w:r>
            <w:r>
              <w:rPr>
                <w:rFonts w:ascii="Arial" w:hAnsi="Arial" w:cs="Arial"/>
                <w:sz w:val="24"/>
                <w:szCs w:val="24"/>
              </w:rPr>
              <w:t>afeguarding Adults Review (S</w:t>
            </w:r>
            <w:r w:rsidRPr="00681267">
              <w:rPr>
                <w:rFonts w:ascii="Arial" w:hAnsi="Arial" w:cs="Arial"/>
                <w:sz w:val="24"/>
                <w:szCs w:val="24"/>
              </w:rPr>
              <w:t>AR</w:t>
            </w:r>
            <w:r>
              <w:rPr>
                <w:rFonts w:ascii="Arial" w:hAnsi="Arial" w:cs="Arial"/>
                <w:sz w:val="24"/>
                <w:szCs w:val="24"/>
              </w:rPr>
              <w:t>)</w:t>
            </w:r>
            <w:r w:rsidRPr="00681267">
              <w:rPr>
                <w:rFonts w:ascii="Arial" w:hAnsi="Arial" w:cs="Arial"/>
                <w:sz w:val="24"/>
                <w:szCs w:val="24"/>
              </w:rPr>
              <w:t xml:space="preserve"> was met and that</w:t>
            </w:r>
            <w:r>
              <w:rPr>
                <w:rFonts w:ascii="Arial" w:hAnsi="Arial" w:cs="Arial"/>
                <w:sz w:val="24"/>
                <w:szCs w:val="24"/>
              </w:rPr>
              <w:t>,</w:t>
            </w:r>
            <w:r w:rsidRPr="00681267">
              <w:rPr>
                <w:rFonts w:ascii="Arial" w:hAnsi="Arial" w:cs="Arial"/>
                <w:sz w:val="24"/>
                <w:szCs w:val="24"/>
              </w:rPr>
              <w:t xml:space="preserve"> “there were lessons to be learnt from this case”. A recommendation was made to the LSAB and a SAR was agreed </w:t>
            </w:r>
            <w:r>
              <w:rPr>
                <w:rFonts w:ascii="Arial" w:hAnsi="Arial" w:cs="Arial"/>
                <w:sz w:val="24"/>
                <w:szCs w:val="24"/>
              </w:rPr>
              <w:t>in December 2015.</w:t>
            </w: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Default="009E52C3" w:rsidP="00716852">
            <w:pPr>
              <w:rPr>
                <w:rFonts w:ascii="Arial" w:hAnsi="Arial" w:cs="Arial"/>
                <w:sz w:val="24"/>
                <w:szCs w:val="24"/>
              </w:rPr>
            </w:pPr>
          </w:p>
          <w:p w:rsidR="009E52C3" w:rsidRPr="00681267" w:rsidRDefault="009E52C3" w:rsidP="00716852">
            <w:pPr>
              <w:rPr>
                <w:rFonts w:ascii="Arial" w:hAnsi="Arial" w:cs="Arial"/>
                <w:sz w:val="24"/>
                <w:szCs w:val="24"/>
              </w:rPr>
            </w:pPr>
          </w:p>
        </w:tc>
      </w:tr>
      <w:tr w:rsidR="00A335EC" w:rsidRPr="00681267" w:rsidTr="00A335EC">
        <w:tc>
          <w:tcPr>
            <w:tcW w:w="1242" w:type="dxa"/>
          </w:tcPr>
          <w:p w:rsidR="00A335EC" w:rsidRPr="008579E3" w:rsidRDefault="00A335EC">
            <w:pPr>
              <w:rPr>
                <w:rFonts w:ascii="Arial" w:hAnsi="Arial" w:cs="Arial"/>
                <w:sz w:val="28"/>
                <w:szCs w:val="28"/>
              </w:rPr>
            </w:pPr>
            <w:r w:rsidRPr="008579E3">
              <w:rPr>
                <w:rFonts w:ascii="Arial" w:hAnsi="Arial" w:cs="Arial"/>
                <w:sz w:val="28"/>
                <w:szCs w:val="28"/>
              </w:rPr>
              <w:lastRenderedPageBreak/>
              <w:t>2.</w:t>
            </w:r>
          </w:p>
        </w:tc>
        <w:tc>
          <w:tcPr>
            <w:tcW w:w="8000" w:type="dxa"/>
          </w:tcPr>
          <w:p w:rsidR="00A335EC" w:rsidRPr="008579E3" w:rsidRDefault="00A335EC">
            <w:pPr>
              <w:rPr>
                <w:rFonts w:ascii="Arial" w:hAnsi="Arial" w:cs="Arial"/>
                <w:b/>
                <w:sz w:val="28"/>
                <w:szCs w:val="28"/>
              </w:rPr>
            </w:pPr>
            <w:r w:rsidRPr="008579E3">
              <w:rPr>
                <w:rFonts w:ascii="Arial" w:hAnsi="Arial" w:cs="Arial"/>
                <w:b/>
                <w:sz w:val="28"/>
                <w:szCs w:val="28"/>
              </w:rPr>
              <w:t xml:space="preserve">Purpose of and Methodology for this </w:t>
            </w:r>
            <w:r>
              <w:rPr>
                <w:rFonts w:ascii="Arial" w:hAnsi="Arial" w:cs="Arial"/>
                <w:b/>
                <w:sz w:val="28"/>
                <w:szCs w:val="28"/>
              </w:rPr>
              <w:t xml:space="preserve">Serious Adults </w:t>
            </w:r>
            <w:r w:rsidRPr="008579E3">
              <w:rPr>
                <w:rFonts w:ascii="Arial" w:hAnsi="Arial" w:cs="Arial"/>
                <w:b/>
                <w:sz w:val="28"/>
                <w:szCs w:val="28"/>
              </w:rPr>
              <w:t>Review</w:t>
            </w:r>
            <w:r>
              <w:rPr>
                <w:rFonts w:ascii="Arial" w:hAnsi="Arial" w:cs="Arial"/>
                <w:b/>
                <w:sz w:val="28"/>
                <w:szCs w:val="28"/>
              </w:rPr>
              <w:t xml:space="preserve"> (SAR)</w:t>
            </w: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2.1</w:t>
            </w:r>
          </w:p>
        </w:tc>
        <w:tc>
          <w:tcPr>
            <w:tcW w:w="8000" w:type="dxa"/>
          </w:tcPr>
          <w:p w:rsidR="00A335EC" w:rsidRPr="00681267" w:rsidRDefault="00A335EC" w:rsidP="009F0B78">
            <w:pPr>
              <w:rPr>
                <w:rFonts w:ascii="Arial" w:hAnsi="Arial" w:cs="Arial"/>
                <w:sz w:val="24"/>
                <w:szCs w:val="24"/>
              </w:rPr>
            </w:pPr>
            <w:r w:rsidRPr="00681267">
              <w:rPr>
                <w:rFonts w:ascii="Arial" w:hAnsi="Arial" w:cs="Arial"/>
                <w:sz w:val="24"/>
                <w:szCs w:val="24"/>
              </w:rPr>
              <w:t xml:space="preserve">The Statutory Guidance to the Care Act 2014 sets out the purpose </w:t>
            </w:r>
            <w:r>
              <w:rPr>
                <w:rFonts w:ascii="Arial" w:hAnsi="Arial" w:cs="Arial"/>
                <w:sz w:val="24"/>
                <w:szCs w:val="24"/>
              </w:rPr>
              <w:t>and</w:t>
            </w:r>
            <w:r w:rsidRPr="00681267">
              <w:rPr>
                <w:rFonts w:ascii="Arial" w:hAnsi="Arial" w:cs="Arial"/>
                <w:sz w:val="24"/>
                <w:szCs w:val="24"/>
              </w:rPr>
              <w:t xml:space="preserve"> the principles for conducting a </w:t>
            </w:r>
            <w:r>
              <w:rPr>
                <w:rFonts w:ascii="Arial" w:hAnsi="Arial" w:cs="Arial"/>
                <w:sz w:val="24"/>
                <w:szCs w:val="24"/>
              </w:rPr>
              <w:t>SAR</w:t>
            </w:r>
            <w:r w:rsidRPr="00681267">
              <w:rPr>
                <w:rFonts w:ascii="Arial" w:hAnsi="Arial" w:cs="Arial"/>
                <w:sz w:val="24"/>
                <w:szCs w:val="24"/>
              </w:rPr>
              <w:t>.</w:t>
            </w:r>
          </w:p>
          <w:p w:rsidR="00A335EC" w:rsidRPr="00681267" w:rsidRDefault="00A335EC" w:rsidP="00B4341B">
            <w:pPr>
              <w:rPr>
                <w:rFonts w:ascii="Arial" w:hAnsi="Arial" w:cs="Arial"/>
                <w:sz w:val="24"/>
                <w:szCs w:val="24"/>
              </w:rPr>
            </w:pPr>
            <w:r w:rsidRPr="00681267">
              <w:rPr>
                <w:rFonts w:ascii="Arial" w:hAnsi="Arial" w:cs="Arial"/>
                <w:sz w:val="24"/>
                <w:szCs w:val="24"/>
              </w:rPr>
              <w:t>The purpose</w:t>
            </w:r>
            <w:r w:rsidR="00F52F8E">
              <w:rPr>
                <w:rFonts w:ascii="Arial" w:hAnsi="Arial" w:cs="Arial"/>
                <w:sz w:val="24"/>
                <w:szCs w:val="24"/>
              </w:rPr>
              <w:t>,</w:t>
            </w:r>
            <w:r w:rsidRPr="00681267">
              <w:rPr>
                <w:rFonts w:ascii="Arial" w:hAnsi="Arial" w:cs="Arial"/>
                <w:sz w:val="24"/>
                <w:szCs w:val="24"/>
              </w:rPr>
              <w:t xml:space="preserve"> as described very clearly in the Statutory Guidance</w:t>
            </w:r>
            <w:r w:rsidR="00F52F8E">
              <w:rPr>
                <w:rFonts w:ascii="Arial" w:hAnsi="Arial" w:cs="Arial"/>
                <w:sz w:val="24"/>
                <w:szCs w:val="24"/>
              </w:rPr>
              <w:t>,</w:t>
            </w:r>
            <w:r w:rsidRPr="00681267">
              <w:rPr>
                <w:rFonts w:ascii="Arial" w:hAnsi="Arial" w:cs="Arial"/>
                <w:sz w:val="24"/>
                <w:szCs w:val="24"/>
              </w:rPr>
              <w:t xml:space="preserve"> is so “lessons can be learned from the case and those lessons applied to future cases to prevent similar harm occurring again. Its purpose is not to hold any individual or organisation to account”</w:t>
            </w:r>
            <w:r w:rsidRPr="00681267">
              <w:rPr>
                <w:rStyle w:val="FootnoteReference"/>
                <w:rFonts w:ascii="Arial" w:hAnsi="Arial" w:cs="Arial"/>
                <w:sz w:val="24"/>
                <w:szCs w:val="24"/>
              </w:rPr>
              <w:footnoteReference w:id="2"/>
            </w:r>
            <w:r w:rsidRPr="00681267">
              <w:rPr>
                <w:rFonts w:ascii="Arial" w:hAnsi="Arial" w:cs="Arial"/>
                <w:sz w:val="24"/>
                <w:szCs w:val="24"/>
              </w:rPr>
              <w:t xml:space="preserve">. </w:t>
            </w:r>
          </w:p>
          <w:p w:rsidR="00A335EC" w:rsidRPr="00681267" w:rsidRDefault="00A335EC" w:rsidP="00B4341B">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2.2</w:t>
            </w:r>
          </w:p>
        </w:tc>
        <w:tc>
          <w:tcPr>
            <w:tcW w:w="8000" w:type="dxa"/>
          </w:tcPr>
          <w:p w:rsidR="00A335EC" w:rsidRPr="00681267" w:rsidRDefault="00A335EC" w:rsidP="00B4341B">
            <w:pPr>
              <w:rPr>
                <w:rFonts w:ascii="Arial" w:hAnsi="Arial" w:cs="Arial"/>
                <w:sz w:val="24"/>
                <w:szCs w:val="24"/>
              </w:rPr>
            </w:pPr>
            <w:r w:rsidRPr="00681267">
              <w:rPr>
                <w:rFonts w:ascii="Arial" w:hAnsi="Arial" w:cs="Arial"/>
                <w:sz w:val="24"/>
                <w:szCs w:val="24"/>
              </w:rPr>
              <w:t>The Act states that Safeguarding Adults Boards must arrange a SAR when an adult in its area dies as a result of abuse or neglect</w:t>
            </w:r>
            <w:r w:rsidRPr="00681267">
              <w:rPr>
                <w:rStyle w:val="FootnoteReference"/>
                <w:rFonts w:ascii="Arial" w:hAnsi="Arial" w:cs="Arial"/>
                <w:sz w:val="24"/>
                <w:szCs w:val="24"/>
              </w:rPr>
              <w:footnoteReference w:id="3"/>
            </w:r>
            <w:r w:rsidRPr="00681267">
              <w:rPr>
                <w:rFonts w:ascii="Arial" w:hAnsi="Arial" w:cs="Arial"/>
                <w:sz w:val="24"/>
                <w:szCs w:val="24"/>
              </w:rPr>
              <w:t>, whether known or suspected, and there is concern that partner agencies could have worked more effectively to protect the adult.</w:t>
            </w:r>
          </w:p>
          <w:p w:rsidR="00A335EC" w:rsidRPr="00681267" w:rsidRDefault="00A335EC" w:rsidP="009F0B78">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2.3</w:t>
            </w:r>
          </w:p>
        </w:tc>
        <w:tc>
          <w:tcPr>
            <w:tcW w:w="8000" w:type="dxa"/>
          </w:tcPr>
          <w:p w:rsidR="00A335EC" w:rsidRPr="00681267" w:rsidRDefault="00A335EC" w:rsidP="00B4341B">
            <w:pPr>
              <w:rPr>
                <w:rFonts w:ascii="Arial" w:hAnsi="Arial" w:cs="Arial"/>
                <w:sz w:val="24"/>
                <w:szCs w:val="24"/>
              </w:rPr>
            </w:pPr>
            <w:r w:rsidRPr="00681267">
              <w:rPr>
                <w:rFonts w:ascii="Arial" w:hAnsi="Arial" w:cs="Arial"/>
                <w:sz w:val="24"/>
                <w:szCs w:val="24"/>
              </w:rPr>
              <w:t xml:space="preserve">There is no single prescribed method to conduct a SAR. The Statutory Guidance places emphasis on local decisions with a focus </w:t>
            </w:r>
            <w:r w:rsidRPr="00681267">
              <w:rPr>
                <w:rFonts w:ascii="Arial" w:hAnsi="Arial" w:cs="Arial"/>
                <w:color w:val="0B0C0C"/>
                <w:sz w:val="24"/>
                <w:szCs w:val="24"/>
              </w:rPr>
              <w:t>on “what needs to happen to achieve understanding, remedial action and, very often, answers for families and friends of adults who have died or been seriously abused or neglected”.</w:t>
            </w:r>
          </w:p>
          <w:p w:rsidR="00A335EC" w:rsidRPr="00681267" w:rsidRDefault="00A335EC" w:rsidP="009F0B78">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2.4</w:t>
            </w:r>
          </w:p>
        </w:tc>
        <w:tc>
          <w:tcPr>
            <w:tcW w:w="8000" w:type="dxa"/>
          </w:tcPr>
          <w:p w:rsidR="00A335EC" w:rsidRPr="00681267" w:rsidRDefault="00A335EC" w:rsidP="00B4341B">
            <w:pPr>
              <w:rPr>
                <w:rFonts w:ascii="Arial" w:hAnsi="Arial" w:cs="Arial"/>
                <w:sz w:val="24"/>
                <w:szCs w:val="24"/>
              </w:rPr>
            </w:pPr>
            <w:r w:rsidRPr="00681267">
              <w:rPr>
                <w:rFonts w:ascii="Arial" w:hAnsi="Arial" w:cs="Arial"/>
                <w:sz w:val="24"/>
                <w:szCs w:val="24"/>
              </w:rPr>
              <w:t>The Practice Guidance developed by the Social Care Institute of Excellence (SCIE)</w:t>
            </w:r>
            <w:r w:rsidRPr="00681267">
              <w:rPr>
                <w:rStyle w:val="FootnoteReference"/>
                <w:rFonts w:ascii="Arial" w:hAnsi="Arial" w:cs="Arial"/>
                <w:sz w:val="24"/>
                <w:szCs w:val="24"/>
              </w:rPr>
              <w:footnoteReference w:id="4"/>
            </w:r>
            <w:r w:rsidRPr="00681267">
              <w:rPr>
                <w:rFonts w:ascii="Arial" w:hAnsi="Arial" w:cs="Arial"/>
                <w:sz w:val="24"/>
                <w:szCs w:val="24"/>
              </w:rPr>
              <w:t xml:space="preserve"> to support practitioners to carry out their safeguarding responsibilities sets out the a</w:t>
            </w:r>
            <w:r>
              <w:rPr>
                <w:rFonts w:ascii="Arial" w:hAnsi="Arial" w:cs="Arial"/>
                <w:sz w:val="24"/>
                <w:szCs w:val="24"/>
              </w:rPr>
              <w:t xml:space="preserve">dvantages of adopting  </w:t>
            </w:r>
            <w:r w:rsidR="00F52F8E">
              <w:rPr>
                <w:rFonts w:ascii="Arial" w:hAnsi="Arial" w:cs="Arial"/>
                <w:sz w:val="24"/>
                <w:szCs w:val="24"/>
              </w:rPr>
              <w:t>“</w:t>
            </w:r>
            <w:r>
              <w:rPr>
                <w:rFonts w:ascii="Arial" w:hAnsi="Arial" w:cs="Arial"/>
                <w:sz w:val="24"/>
                <w:szCs w:val="24"/>
              </w:rPr>
              <w:t xml:space="preserve">Action </w:t>
            </w:r>
            <w:r w:rsidR="009E52C3">
              <w:rPr>
                <w:rFonts w:ascii="Arial" w:hAnsi="Arial" w:cs="Arial"/>
                <w:sz w:val="24"/>
                <w:szCs w:val="24"/>
              </w:rPr>
              <w:t>L</w:t>
            </w:r>
            <w:r w:rsidR="009E52C3" w:rsidRPr="00681267">
              <w:rPr>
                <w:rFonts w:ascii="Arial" w:hAnsi="Arial" w:cs="Arial"/>
                <w:sz w:val="24"/>
                <w:szCs w:val="24"/>
              </w:rPr>
              <w:t>earning</w:t>
            </w:r>
            <w:r w:rsidR="009E52C3">
              <w:rPr>
                <w:rFonts w:ascii="Arial" w:hAnsi="Arial" w:cs="Arial"/>
                <w:sz w:val="24"/>
                <w:szCs w:val="24"/>
              </w:rPr>
              <w:t xml:space="preserve"> </w:t>
            </w:r>
            <w:r w:rsidR="009E52C3" w:rsidRPr="00681267">
              <w:rPr>
                <w:rFonts w:ascii="Arial" w:hAnsi="Arial" w:cs="Arial"/>
                <w:sz w:val="24"/>
                <w:szCs w:val="24"/>
              </w:rPr>
              <w:t>“as</w:t>
            </w:r>
            <w:r w:rsidRPr="00681267">
              <w:rPr>
                <w:rFonts w:ascii="Arial" w:hAnsi="Arial" w:cs="Arial"/>
                <w:sz w:val="24"/>
                <w:szCs w:val="24"/>
              </w:rPr>
              <w:t xml:space="preserve"> a method to conduct a SAR, believing such an approach can:</w:t>
            </w:r>
          </w:p>
          <w:p w:rsidR="00A335EC" w:rsidRPr="00681267" w:rsidRDefault="00A335EC" w:rsidP="00B4341B">
            <w:pPr>
              <w:pStyle w:val="ListParagraph"/>
              <w:numPr>
                <w:ilvl w:val="0"/>
                <w:numId w:val="2"/>
              </w:numPr>
            </w:pPr>
            <w:r w:rsidRPr="00681267">
              <w:t>enhance partnership working;</w:t>
            </w:r>
          </w:p>
          <w:p w:rsidR="00A335EC" w:rsidRPr="00681267" w:rsidRDefault="00A335EC" w:rsidP="00B4341B">
            <w:pPr>
              <w:pStyle w:val="ListParagraph"/>
              <w:numPr>
                <w:ilvl w:val="0"/>
                <w:numId w:val="2"/>
              </w:numPr>
            </w:pPr>
            <w:r w:rsidRPr="00681267">
              <w:t xml:space="preserve">recognise the  alternative perspectives from partners; and </w:t>
            </w:r>
          </w:p>
          <w:p w:rsidR="00A335EC" w:rsidRPr="00681267" w:rsidRDefault="00A335EC" w:rsidP="00B4341B">
            <w:pPr>
              <w:pStyle w:val="ListParagraph"/>
              <w:numPr>
                <w:ilvl w:val="0"/>
                <w:numId w:val="2"/>
              </w:numPr>
            </w:pPr>
            <w:r w:rsidRPr="00681267">
              <w:t>facilitate collaborative problem solving</w:t>
            </w:r>
          </w:p>
          <w:p w:rsidR="00A335EC" w:rsidRPr="00681267" w:rsidRDefault="00A335EC" w:rsidP="009F0B78">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2.5</w:t>
            </w:r>
          </w:p>
        </w:tc>
        <w:tc>
          <w:tcPr>
            <w:tcW w:w="8000" w:type="dxa"/>
          </w:tcPr>
          <w:p w:rsidR="00A335EC" w:rsidRPr="00681267" w:rsidRDefault="00A335EC" w:rsidP="00071800">
            <w:pPr>
              <w:rPr>
                <w:rFonts w:ascii="Arial" w:hAnsi="Arial" w:cs="Arial"/>
                <w:sz w:val="24"/>
                <w:szCs w:val="24"/>
              </w:rPr>
            </w:pPr>
            <w:r w:rsidRPr="00681267">
              <w:rPr>
                <w:rFonts w:ascii="Arial" w:hAnsi="Arial" w:cs="Arial"/>
                <w:sz w:val="24"/>
                <w:szCs w:val="24"/>
              </w:rPr>
              <w:t xml:space="preserve">It was agreed that such an approach in principle, albeit with some adaptations to the SCIE recommended practice, should be undertaken in relation to this Review. In particular there were some initial concerns that the solving of some problems might have been enhanced by greater partnership working. </w:t>
            </w:r>
          </w:p>
          <w:p w:rsidR="00A335EC" w:rsidRPr="00681267" w:rsidRDefault="00A335EC" w:rsidP="000B7AD2">
            <w:pPr>
              <w:rPr>
                <w:rFonts w:ascii="Arial" w:hAnsi="Arial" w:cs="Arial"/>
                <w:sz w:val="24"/>
                <w:szCs w:val="24"/>
              </w:rPr>
            </w:pPr>
          </w:p>
        </w:tc>
      </w:tr>
      <w:tr w:rsidR="00A335EC" w:rsidRPr="00681267" w:rsidTr="00A335EC">
        <w:tc>
          <w:tcPr>
            <w:tcW w:w="1242" w:type="dxa"/>
          </w:tcPr>
          <w:p w:rsidR="00A335EC" w:rsidRPr="00681267" w:rsidRDefault="00A335EC" w:rsidP="0067158B">
            <w:pPr>
              <w:rPr>
                <w:rFonts w:ascii="Arial" w:hAnsi="Arial" w:cs="Arial"/>
                <w:sz w:val="24"/>
                <w:szCs w:val="24"/>
              </w:rPr>
            </w:pPr>
            <w:r w:rsidRPr="00681267">
              <w:rPr>
                <w:rFonts w:ascii="Arial" w:hAnsi="Arial" w:cs="Arial"/>
                <w:sz w:val="24"/>
                <w:szCs w:val="24"/>
              </w:rPr>
              <w:t>2.</w:t>
            </w:r>
            <w:r>
              <w:rPr>
                <w:rFonts w:ascii="Arial" w:hAnsi="Arial" w:cs="Arial"/>
                <w:sz w:val="24"/>
                <w:szCs w:val="24"/>
              </w:rPr>
              <w:t>6</w:t>
            </w:r>
          </w:p>
        </w:tc>
        <w:tc>
          <w:tcPr>
            <w:tcW w:w="8000" w:type="dxa"/>
          </w:tcPr>
          <w:p w:rsidR="00A335EC" w:rsidRPr="00681267" w:rsidRDefault="00FF3709" w:rsidP="000B7AD2">
            <w:pPr>
              <w:rPr>
                <w:rFonts w:ascii="Arial" w:hAnsi="Arial" w:cs="Arial"/>
                <w:sz w:val="24"/>
                <w:szCs w:val="24"/>
              </w:rPr>
            </w:pPr>
            <w:r>
              <w:rPr>
                <w:rFonts w:ascii="Arial" w:hAnsi="Arial" w:cs="Arial"/>
                <w:sz w:val="24"/>
                <w:szCs w:val="24"/>
              </w:rPr>
              <w:t>I was appointed as an</w:t>
            </w:r>
            <w:r w:rsidR="00A335EC" w:rsidRPr="00681267">
              <w:rPr>
                <w:rFonts w:ascii="Arial" w:hAnsi="Arial" w:cs="Arial"/>
                <w:sz w:val="24"/>
                <w:szCs w:val="24"/>
              </w:rPr>
              <w:t xml:space="preserve"> independent person</w:t>
            </w:r>
            <w:r w:rsidR="00A335EC" w:rsidRPr="00681267">
              <w:rPr>
                <w:rStyle w:val="FootnoteReference"/>
                <w:rFonts w:ascii="Arial" w:hAnsi="Arial" w:cs="Arial"/>
                <w:sz w:val="24"/>
                <w:szCs w:val="24"/>
              </w:rPr>
              <w:footnoteReference w:id="5"/>
            </w:r>
            <w:r w:rsidR="00A335EC" w:rsidRPr="00681267">
              <w:rPr>
                <w:rFonts w:ascii="Arial" w:hAnsi="Arial" w:cs="Arial"/>
                <w:sz w:val="24"/>
                <w:szCs w:val="24"/>
              </w:rPr>
              <w:t>, with substantial experience of safeguarding adults work and conducting similar reviews, to chair the Review Panel and provide a report after the review process was completed.</w:t>
            </w:r>
          </w:p>
          <w:p w:rsidR="00A335EC" w:rsidRPr="00681267" w:rsidRDefault="00A335EC" w:rsidP="000B7AD2">
            <w:pPr>
              <w:rPr>
                <w:rFonts w:ascii="Arial" w:hAnsi="Arial" w:cs="Arial"/>
                <w:sz w:val="24"/>
                <w:szCs w:val="24"/>
              </w:rPr>
            </w:pPr>
          </w:p>
        </w:tc>
      </w:tr>
      <w:tr w:rsidR="00A335EC" w:rsidRPr="00681267" w:rsidTr="00A335EC">
        <w:tc>
          <w:tcPr>
            <w:tcW w:w="1242" w:type="dxa"/>
          </w:tcPr>
          <w:p w:rsidR="00A335EC" w:rsidRPr="00681267" w:rsidRDefault="00A335EC" w:rsidP="0067158B">
            <w:pPr>
              <w:rPr>
                <w:rFonts w:ascii="Arial" w:hAnsi="Arial" w:cs="Arial"/>
                <w:sz w:val="24"/>
                <w:szCs w:val="24"/>
              </w:rPr>
            </w:pPr>
            <w:r w:rsidRPr="00681267">
              <w:rPr>
                <w:rFonts w:ascii="Arial" w:hAnsi="Arial" w:cs="Arial"/>
                <w:sz w:val="24"/>
                <w:szCs w:val="24"/>
              </w:rPr>
              <w:t>2.</w:t>
            </w:r>
            <w:r>
              <w:rPr>
                <w:rFonts w:ascii="Arial" w:hAnsi="Arial" w:cs="Arial"/>
                <w:sz w:val="24"/>
                <w:szCs w:val="24"/>
              </w:rPr>
              <w:t>7</w:t>
            </w:r>
          </w:p>
        </w:tc>
        <w:tc>
          <w:tcPr>
            <w:tcW w:w="8000" w:type="dxa"/>
          </w:tcPr>
          <w:p w:rsidR="00A335EC" w:rsidRPr="00681267" w:rsidRDefault="00A335EC" w:rsidP="009E0667">
            <w:pPr>
              <w:tabs>
                <w:tab w:val="left" w:pos="34"/>
                <w:tab w:val="left" w:pos="3692"/>
              </w:tabs>
              <w:rPr>
                <w:rFonts w:ascii="Arial" w:hAnsi="Arial" w:cs="Arial"/>
                <w:sz w:val="24"/>
                <w:szCs w:val="24"/>
              </w:rPr>
            </w:pPr>
            <w:r w:rsidRPr="00681267">
              <w:rPr>
                <w:rFonts w:ascii="Arial" w:hAnsi="Arial" w:cs="Arial"/>
                <w:sz w:val="24"/>
                <w:szCs w:val="24"/>
              </w:rPr>
              <w:t xml:space="preserve">A Panel of senior staff </w:t>
            </w:r>
            <w:r>
              <w:rPr>
                <w:rFonts w:ascii="Arial" w:hAnsi="Arial" w:cs="Arial"/>
                <w:sz w:val="24"/>
                <w:szCs w:val="24"/>
              </w:rPr>
              <w:t xml:space="preserve">was established from agencies that had some contact with Edward. These included: Liverpool City Council Adult Social Care, Safeguarding Adults, and Legal Services; Liverpool Clinical </w:t>
            </w:r>
            <w:r>
              <w:rPr>
                <w:rFonts w:ascii="Arial" w:hAnsi="Arial" w:cs="Arial"/>
                <w:sz w:val="24"/>
                <w:szCs w:val="24"/>
              </w:rPr>
              <w:lastRenderedPageBreak/>
              <w:t xml:space="preserve">Commissioning Group and GP Safeguarding lead; Mersey Care Foundation Trust; Merseyside Police; and Colbalt Housing. </w:t>
            </w:r>
            <w:r w:rsidRPr="00681267">
              <w:rPr>
                <w:rFonts w:ascii="Arial" w:hAnsi="Arial" w:cs="Arial"/>
                <w:sz w:val="24"/>
                <w:szCs w:val="24"/>
              </w:rPr>
              <w:t>The Panel’s role was to</w:t>
            </w:r>
            <w:r>
              <w:rPr>
                <w:rFonts w:ascii="Arial" w:hAnsi="Arial" w:cs="Arial"/>
                <w:sz w:val="24"/>
                <w:szCs w:val="24"/>
              </w:rPr>
              <w:t xml:space="preserve"> work with the </w:t>
            </w:r>
            <w:r w:rsidRPr="00681267">
              <w:rPr>
                <w:rFonts w:ascii="Arial" w:hAnsi="Arial" w:cs="Arial"/>
                <w:sz w:val="24"/>
                <w:szCs w:val="24"/>
              </w:rPr>
              <w:t>Independent Chair/Report author and take responsibility on behalf of the Liverpool Safeguarding Adults Board (LSAB) to ensure proper processes were followed, including that a report with actionable recommendations was prepared and agreed.</w:t>
            </w:r>
          </w:p>
          <w:p w:rsidR="00A335EC" w:rsidRPr="00681267" w:rsidRDefault="00A335EC" w:rsidP="00D31BA1">
            <w:pPr>
              <w:tabs>
                <w:tab w:val="left" w:pos="3566"/>
              </w:tabs>
              <w:rPr>
                <w:rFonts w:ascii="Arial" w:hAnsi="Arial" w:cs="Arial"/>
                <w:sz w:val="24"/>
                <w:szCs w:val="24"/>
              </w:rPr>
            </w:pPr>
          </w:p>
        </w:tc>
      </w:tr>
      <w:tr w:rsidR="00A335EC" w:rsidRPr="00681267" w:rsidTr="00A335EC">
        <w:tc>
          <w:tcPr>
            <w:tcW w:w="1242" w:type="dxa"/>
          </w:tcPr>
          <w:p w:rsidR="00A335EC" w:rsidRPr="00681267" w:rsidRDefault="00A335EC" w:rsidP="0067158B">
            <w:pPr>
              <w:rPr>
                <w:rFonts w:ascii="Arial" w:hAnsi="Arial" w:cs="Arial"/>
                <w:sz w:val="24"/>
                <w:szCs w:val="24"/>
              </w:rPr>
            </w:pPr>
            <w:r w:rsidRPr="00681267">
              <w:rPr>
                <w:rFonts w:ascii="Arial" w:hAnsi="Arial" w:cs="Arial"/>
                <w:sz w:val="24"/>
                <w:szCs w:val="24"/>
              </w:rPr>
              <w:lastRenderedPageBreak/>
              <w:t>2.</w:t>
            </w:r>
            <w:r>
              <w:rPr>
                <w:rFonts w:ascii="Arial" w:hAnsi="Arial" w:cs="Arial"/>
                <w:sz w:val="24"/>
                <w:szCs w:val="24"/>
              </w:rPr>
              <w:t>8</w:t>
            </w:r>
          </w:p>
        </w:tc>
        <w:tc>
          <w:tcPr>
            <w:tcW w:w="8000" w:type="dxa"/>
          </w:tcPr>
          <w:p w:rsidR="00B31327" w:rsidRPr="00681267" w:rsidRDefault="00B31327" w:rsidP="00B31327">
            <w:pPr>
              <w:rPr>
                <w:rFonts w:ascii="Arial" w:hAnsi="Arial" w:cs="Arial"/>
                <w:sz w:val="24"/>
                <w:szCs w:val="24"/>
              </w:rPr>
            </w:pPr>
            <w:r w:rsidRPr="00681267">
              <w:rPr>
                <w:rFonts w:ascii="Arial" w:hAnsi="Arial" w:cs="Arial"/>
                <w:sz w:val="24"/>
                <w:szCs w:val="24"/>
              </w:rPr>
              <w:t xml:space="preserve">The agencies known to have had contact with </w:t>
            </w:r>
            <w:r>
              <w:rPr>
                <w:rFonts w:ascii="Arial" w:hAnsi="Arial" w:cs="Arial"/>
                <w:sz w:val="24"/>
                <w:szCs w:val="24"/>
              </w:rPr>
              <w:t>Edward</w:t>
            </w:r>
            <w:r w:rsidRPr="00681267">
              <w:rPr>
                <w:rFonts w:ascii="Arial" w:hAnsi="Arial" w:cs="Arial"/>
                <w:sz w:val="24"/>
                <w:szCs w:val="24"/>
              </w:rPr>
              <w:t xml:space="preserve"> were asked to prepare a chronology from information they held on him from 1</w:t>
            </w:r>
            <w:r w:rsidRPr="00681267">
              <w:rPr>
                <w:rFonts w:ascii="Arial" w:hAnsi="Arial" w:cs="Arial"/>
                <w:sz w:val="24"/>
                <w:szCs w:val="24"/>
                <w:vertAlign w:val="superscript"/>
              </w:rPr>
              <w:t>st</w:t>
            </w:r>
            <w:r w:rsidRPr="00681267">
              <w:rPr>
                <w:rFonts w:ascii="Arial" w:hAnsi="Arial" w:cs="Arial"/>
                <w:sz w:val="24"/>
                <w:szCs w:val="24"/>
              </w:rPr>
              <w:t xml:space="preserve"> October 2013 to his death </w:t>
            </w:r>
            <w:r>
              <w:rPr>
                <w:rFonts w:ascii="Arial" w:hAnsi="Arial" w:cs="Arial"/>
                <w:sz w:val="24"/>
                <w:szCs w:val="24"/>
              </w:rPr>
              <w:t>in October</w:t>
            </w:r>
            <w:r w:rsidRPr="00681267">
              <w:rPr>
                <w:rFonts w:ascii="Arial" w:hAnsi="Arial" w:cs="Arial"/>
                <w:sz w:val="24"/>
                <w:szCs w:val="24"/>
              </w:rPr>
              <w:t xml:space="preserve"> 2015. They were also asked to provide some brief contextual information with their chronologies, particularly of any concerns about safeguarding issues prior to October 2013.</w:t>
            </w:r>
          </w:p>
          <w:p w:rsidR="00A335EC" w:rsidRPr="00681267" w:rsidRDefault="00A335EC" w:rsidP="00B31327">
            <w:pPr>
              <w:contextualSpacing/>
              <w:rPr>
                <w:rFonts w:ascii="Arial" w:hAnsi="Arial" w:cs="Arial"/>
                <w:sz w:val="24"/>
                <w:szCs w:val="24"/>
              </w:rPr>
            </w:pPr>
          </w:p>
        </w:tc>
      </w:tr>
      <w:tr w:rsidR="00A335EC" w:rsidRPr="00681267" w:rsidTr="00A335EC">
        <w:tc>
          <w:tcPr>
            <w:tcW w:w="1242" w:type="dxa"/>
          </w:tcPr>
          <w:p w:rsidR="00A335EC" w:rsidRPr="00681267" w:rsidRDefault="00A335EC" w:rsidP="0067158B">
            <w:pPr>
              <w:rPr>
                <w:rFonts w:ascii="Arial" w:hAnsi="Arial" w:cs="Arial"/>
                <w:sz w:val="24"/>
                <w:szCs w:val="24"/>
              </w:rPr>
            </w:pPr>
            <w:r>
              <w:rPr>
                <w:rFonts w:ascii="Arial" w:hAnsi="Arial" w:cs="Arial"/>
                <w:sz w:val="24"/>
                <w:szCs w:val="24"/>
              </w:rPr>
              <w:t>2.9</w:t>
            </w:r>
          </w:p>
        </w:tc>
        <w:tc>
          <w:tcPr>
            <w:tcW w:w="8000" w:type="dxa"/>
          </w:tcPr>
          <w:p w:rsidR="00B31327" w:rsidRPr="004209CA" w:rsidRDefault="00B31327" w:rsidP="00B31327">
            <w:pPr>
              <w:contextualSpacing/>
              <w:rPr>
                <w:rFonts w:ascii="Arial" w:hAnsi="Arial" w:cs="Arial"/>
                <w:sz w:val="24"/>
                <w:szCs w:val="24"/>
              </w:rPr>
            </w:pPr>
            <w:r w:rsidRPr="004209CA">
              <w:rPr>
                <w:rFonts w:ascii="Arial" w:hAnsi="Arial" w:cs="Arial"/>
                <w:sz w:val="24"/>
                <w:szCs w:val="24"/>
              </w:rPr>
              <w:t xml:space="preserve">Following questions raised by the Coroner in November 2016 Aintree Hospital NHS Foundation Trust provided more information about </w:t>
            </w:r>
            <w:r>
              <w:rPr>
                <w:rFonts w:ascii="Arial" w:hAnsi="Arial" w:cs="Arial"/>
                <w:sz w:val="24"/>
                <w:szCs w:val="24"/>
              </w:rPr>
              <w:t>Edward</w:t>
            </w:r>
            <w:r w:rsidRPr="004209CA">
              <w:rPr>
                <w:rFonts w:ascii="Arial" w:hAnsi="Arial" w:cs="Arial"/>
                <w:sz w:val="24"/>
                <w:szCs w:val="24"/>
              </w:rPr>
              <w:t>’s hospital admission and discharge. They have also contributed some recommendations to this SAR</w:t>
            </w:r>
            <w:r>
              <w:rPr>
                <w:rFonts w:ascii="Arial" w:hAnsi="Arial" w:cs="Arial"/>
                <w:sz w:val="24"/>
                <w:szCs w:val="24"/>
              </w:rPr>
              <w:t xml:space="preserve"> and attended a final Panel meeting</w:t>
            </w:r>
            <w:r w:rsidRPr="004209CA">
              <w:rPr>
                <w:rFonts w:ascii="Arial" w:hAnsi="Arial" w:cs="Arial"/>
                <w:sz w:val="24"/>
                <w:szCs w:val="24"/>
              </w:rPr>
              <w:t>.</w:t>
            </w:r>
          </w:p>
          <w:p w:rsidR="00A335EC" w:rsidRPr="00681267" w:rsidRDefault="00A335EC" w:rsidP="00B31327">
            <w:pPr>
              <w:rPr>
                <w:rFonts w:ascii="Arial" w:hAnsi="Arial" w:cs="Arial"/>
                <w:sz w:val="24"/>
                <w:szCs w:val="24"/>
              </w:rPr>
            </w:pPr>
          </w:p>
        </w:tc>
      </w:tr>
      <w:tr w:rsidR="00A335EC" w:rsidRPr="00681267" w:rsidTr="00A335EC">
        <w:tc>
          <w:tcPr>
            <w:tcW w:w="1242" w:type="dxa"/>
          </w:tcPr>
          <w:p w:rsidR="00A335EC" w:rsidRPr="00681267" w:rsidRDefault="00A335EC" w:rsidP="0045195E">
            <w:pPr>
              <w:rPr>
                <w:rFonts w:ascii="Arial" w:hAnsi="Arial" w:cs="Arial"/>
                <w:sz w:val="24"/>
                <w:szCs w:val="24"/>
              </w:rPr>
            </w:pPr>
            <w:r w:rsidRPr="00681267">
              <w:rPr>
                <w:rFonts w:ascii="Arial" w:hAnsi="Arial" w:cs="Arial"/>
                <w:sz w:val="24"/>
                <w:szCs w:val="24"/>
              </w:rPr>
              <w:t>2.</w:t>
            </w:r>
            <w:r>
              <w:rPr>
                <w:rFonts w:ascii="Arial" w:hAnsi="Arial" w:cs="Arial"/>
                <w:sz w:val="24"/>
                <w:szCs w:val="24"/>
              </w:rPr>
              <w:t>10</w:t>
            </w:r>
          </w:p>
        </w:tc>
        <w:tc>
          <w:tcPr>
            <w:tcW w:w="8000" w:type="dxa"/>
          </w:tcPr>
          <w:p w:rsidR="00A335EC" w:rsidRPr="00681267" w:rsidRDefault="00A335EC" w:rsidP="00B4341B">
            <w:pPr>
              <w:rPr>
                <w:rFonts w:ascii="Arial" w:hAnsi="Arial" w:cs="Arial"/>
                <w:sz w:val="24"/>
                <w:szCs w:val="24"/>
              </w:rPr>
            </w:pPr>
            <w:r w:rsidRPr="00681267">
              <w:rPr>
                <w:rFonts w:ascii="Arial" w:hAnsi="Arial" w:cs="Arial"/>
                <w:sz w:val="24"/>
                <w:szCs w:val="24"/>
              </w:rPr>
              <w:t xml:space="preserve">A half day </w:t>
            </w:r>
            <w:r w:rsidR="00F52F8E">
              <w:rPr>
                <w:rFonts w:ascii="Arial" w:hAnsi="Arial" w:cs="Arial"/>
                <w:sz w:val="24"/>
                <w:szCs w:val="24"/>
              </w:rPr>
              <w:t>“</w:t>
            </w:r>
            <w:r w:rsidRPr="00681267">
              <w:rPr>
                <w:rFonts w:ascii="Arial" w:hAnsi="Arial" w:cs="Arial"/>
                <w:sz w:val="24"/>
                <w:szCs w:val="24"/>
              </w:rPr>
              <w:t>Share and Learn</w:t>
            </w:r>
            <w:r w:rsidR="00F52F8E">
              <w:rPr>
                <w:rFonts w:ascii="Arial" w:hAnsi="Arial" w:cs="Arial"/>
                <w:sz w:val="24"/>
                <w:szCs w:val="24"/>
              </w:rPr>
              <w:t>”</w:t>
            </w:r>
            <w:r w:rsidRPr="00681267">
              <w:rPr>
                <w:rFonts w:ascii="Arial" w:hAnsi="Arial" w:cs="Arial"/>
                <w:sz w:val="24"/>
                <w:szCs w:val="24"/>
              </w:rPr>
              <w:t xml:space="preserve"> event/workshop</w:t>
            </w:r>
            <w:r>
              <w:rPr>
                <w:rFonts w:ascii="Arial" w:hAnsi="Arial" w:cs="Arial"/>
                <w:sz w:val="24"/>
                <w:szCs w:val="24"/>
              </w:rPr>
              <w:t xml:space="preserve"> was led by the Independent Chair/Author for frontline staff and relevant managers in</w:t>
            </w:r>
            <w:r w:rsidRPr="00681267">
              <w:rPr>
                <w:rFonts w:ascii="Arial" w:hAnsi="Arial" w:cs="Arial"/>
                <w:sz w:val="24"/>
                <w:szCs w:val="24"/>
              </w:rPr>
              <w:t xml:space="preserve"> September 2016. The purpose was to gather any further relevant information and clarify differing perceptions of events</w:t>
            </w:r>
            <w:r>
              <w:rPr>
                <w:rFonts w:ascii="Arial" w:hAnsi="Arial" w:cs="Arial"/>
                <w:sz w:val="24"/>
                <w:szCs w:val="24"/>
              </w:rPr>
              <w:t>,</w:t>
            </w:r>
            <w:r w:rsidRPr="00681267">
              <w:rPr>
                <w:rFonts w:ascii="Arial" w:hAnsi="Arial" w:cs="Arial"/>
                <w:sz w:val="24"/>
                <w:szCs w:val="24"/>
              </w:rPr>
              <w:t xml:space="preserve"> to enable workers and agencies to reflect on practice</w:t>
            </w:r>
            <w:r>
              <w:rPr>
                <w:rFonts w:ascii="Arial" w:hAnsi="Arial" w:cs="Arial"/>
                <w:sz w:val="24"/>
                <w:szCs w:val="24"/>
              </w:rPr>
              <w:t>,</w:t>
            </w:r>
            <w:r w:rsidRPr="00681267">
              <w:rPr>
                <w:rFonts w:ascii="Arial" w:hAnsi="Arial" w:cs="Arial"/>
                <w:sz w:val="24"/>
                <w:szCs w:val="24"/>
              </w:rPr>
              <w:t xml:space="preserve"> and</w:t>
            </w:r>
            <w:r>
              <w:rPr>
                <w:rFonts w:ascii="Arial" w:hAnsi="Arial" w:cs="Arial"/>
                <w:sz w:val="24"/>
                <w:szCs w:val="24"/>
              </w:rPr>
              <w:t xml:space="preserve"> to</w:t>
            </w:r>
            <w:r w:rsidRPr="00681267">
              <w:rPr>
                <w:rFonts w:ascii="Arial" w:hAnsi="Arial" w:cs="Arial"/>
                <w:sz w:val="24"/>
                <w:szCs w:val="24"/>
              </w:rPr>
              <w:t xml:space="preserve"> </w:t>
            </w:r>
            <w:r>
              <w:rPr>
                <w:rFonts w:ascii="Arial" w:hAnsi="Arial" w:cs="Arial"/>
                <w:sz w:val="24"/>
                <w:szCs w:val="24"/>
              </w:rPr>
              <w:t xml:space="preserve">suggest </w:t>
            </w:r>
            <w:r w:rsidRPr="00681267">
              <w:rPr>
                <w:rFonts w:ascii="Arial" w:hAnsi="Arial" w:cs="Arial"/>
                <w:sz w:val="24"/>
                <w:szCs w:val="24"/>
              </w:rPr>
              <w:t xml:space="preserve">what might have been done differently. There was also opportunity for staff to </w:t>
            </w:r>
            <w:r>
              <w:rPr>
                <w:rFonts w:ascii="Arial" w:hAnsi="Arial" w:cs="Arial"/>
                <w:sz w:val="24"/>
                <w:szCs w:val="24"/>
              </w:rPr>
              <w:t>make</w:t>
            </w:r>
            <w:r w:rsidRPr="00681267">
              <w:rPr>
                <w:rFonts w:ascii="Arial" w:hAnsi="Arial" w:cs="Arial"/>
                <w:sz w:val="24"/>
                <w:szCs w:val="24"/>
              </w:rPr>
              <w:t xml:space="preserve"> recommendations for the Review Panel to consider about how similar events might be prevented in the future. </w:t>
            </w:r>
          </w:p>
          <w:p w:rsidR="00A335EC" w:rsidRPr="00681267" w:rsidRDefault="00A335EC" w:rsidP="00FF3F0E">
            <w:pPr>
              <w:rPr>
                <w:rFonts w:ascii="Arial" w:hAnsi="Arial" w:cs="Arial"/>
                <w:sz w:val="24"/>
                <w:szCs w:val="24"/>
              </w:rPr>
            </w:pPr>
          </w:p>
        </w:tc>
      </w:tr>
      <w:tr w:rsidR="00A335EC" w:rsidRPr="00681267" w:rsidTr="00A335EC">
        <w:tc>
          <w:tcPr>
            <w:tcW w:w="1242" w:type="dxa"/>
          </w:tcPr>
          <w:p w:rsidR="00A335EC" w:rsidRPr="00681267" w:rsidRDefault="00A335EC" w:rsidP="0045195E">
            <w:pPr>
              <w:rPr>
                <w:rFonts w:ascii="Arial" w:hAnsi="Arial" w:cs="Arial"/>
                <w:sz w:val="24"/>
                <w:szCs w:val="24"/>
              </w:rPr>
            </w:pPr>
            <w:r w:rsidRPr="00681267">
              <w:rPr>
                <w:rFonts w:ascii="Arial" w:hAnsi="Arial" w:cs="Arial"/>
                <w:sz w:val="24"/>
                <w:szCs w:val="24"/>
              </w:rPr>
              <w:t>2.1</w:t>
            </w:r>
            <w:r>
              <w:rPr>
                <w:rFonts w:ascii="Arial" w:hAnsi="Arial" w:cs="Arial"/>
                <w:sz w:val="24"/>
                <w:szCs w:val="24"/>
              </w:rPr>
              <w:t>1</w:t>
            </w:r>
          </w:p>
        </w:tc>
        <w:tc>
          <w:tcPr>
            <w:tcW w:w="8000" w:type="dxa"/>
          </w:tcPr>
          <w:p w:rsidR="00A335EC" w:rsidRPr="00681267" w:rsidRDefault="00A335EC" w:rsidP="00B4341B">
            <w:pPr>
              <w:rPr>
                <w:rFonts w:ascii="Arial" w:hAnsi="Arial" w:cs="Arial"/>
                <w:sz w:val="24"/>
                <w:szCs w:val="24"/>
              </w:rPr>
            </w:pPr>
            <w:r w:rsidRPr="00681267">
              <w:rPr>
                <w:rFonts w:ascii="Arial" w:hAnsi="Arial" w:cs="Arial"/>
                <w:sz w:val="24"/>
                <w:szCs w:val="24"/>
              </w:rPr>
              <w:t xml:space="preserve">Very few of the attendees had direct contact with </w:t>
            </w:r>
            <w:r>
              <w:rPr>
                <w:rFonts w:ascii="Arial" w:hAnsi="Arial" w:cs="Arial"/>
                <w:sz w:val="24"/>
                <w:szCs w:val="24"/>
              </w:rPr>
              <w:t>Edward</w:t>
            </w:r>
            <w:r w:rsidR="00096C55">
              <w:rPr>
                <w:rFonts w:ascii="Arial" w:hAnsi="Arial" w:cs="Arial"/>
                <w:sz w:val="24"/>
                <w:szCs w:val="24"/>
              </w:rPr>
              <w:t>,</w:t>
            </w:r>
            <w:r w:rsidRPr="00681267">
              <w:rPr>
                <w:rFonts w:ascii="Arial" w:hAnsi="Arial" w:cs="Arial"/>
                <w:sz w:val="24"/>
                <w:szCs w:val="24"/>
              </w:rPr>
              <w:t xml:space="preserve"> </w:t>
            </w:r>
            <w:r w:rsidR="00096C55">
              <w:rPr>
                <w:rFonts w:ascii="Arial" w:hAnsi="Arial" w:cs="Arial"/>
                <w:sz w:val="24"/>
                <w:szCs w:val="24"/>
              </w:rPr>
              <w:t>S</w:t>
            </w:r>
            <w:r w:rsidRPr="00681267">
              <w:rPr>
                <w:rFonts w:ascii="Arial" w:hAnsi="Arial" w:cs="Arial"/>
                <w:sz w:val="24"/>
                <w:szCs w:val="24"/>
              </w:rPr>
              <w:t xml:space="preserve">ome had some limited contact with his </w:t>
            </w:r>
            <w:r>
              <w:rPr>
                <w:rFonts w:ascii="Arial" w:hAnsi="Arial" w:cs="Arial"/>
                <w:sz w:val="24"/>
                <w:szCs w:val="24"/>
              </w:rPr>
              <w:t>mum</w:t>
            </w:r>
            <w:r w:rsidRPr="00681267">
              <w:rPr>
                <w:rFonts w:ascii="Arial" w:hAnsi="Arial" w:cs="Arial"/>
                <w:sz w:val="24"/>
                <w:szCs w:val="24"/>
              </w:rPr>
              <w:t xml:space="preserve"> and two sisters</w:t>
            </w:r>
            <w:r w:rsidR="00096C55">
              <w:rPr>
                <w:rFonts w:ascii="Arial" w:hAnsi="Arial" w:cs="Arial"/>
                <w:sz w:val="24"/>
                <w:szCs w:val="24"/>
              </w:rPr>
              <w:t>;</w:t>
            </w:r>
            <w:r w:rsidRPr="00681267">
              <w:rPr>
                <w:rFonts w:ascii="Arial" w:hAnsi="Arial" w:cs="Arial"/>
                <w:sz w:val="24"/>
                <w:szCs w:val="24"/>
              </w:rPr>
              <w:t xml:space="preserve"> </w:t>
            </w:r>
            <w:r w:rsidR="00096C55">
              <w:rPr>
                <w:rFonts w:ascii="Arial" w:hAnsi="Arial" w:cs="Arial"/>
                <w:sz w:val="24"/>
                <w:szCs w:val="24"/>
              </w:rPr>
              <w:t>o</w:t>
            </w:r>
            <w:r w:rsidRPr="00681267">
              <w:rPr>
                <w:rFonts w:ascii="Arial" w:hAnsi="Arial" w:cs="Arial"/>
                <w:sz w:val="24"/>
                <w:szCs w:val="24"/>
              </w:rPr>
              <w:t xml:space="preserve">thers had roles where they could learn from their involvement in the workshop and contribute their expertise and ideas about improving practice. </w:t>
            </w:r>
          </w:p>
          <w:p w:rsidR="00A335EC" w:rsidRPr="00681267" w:rsidRDefault="00A335EC" w:rsidP="00FF3F0E">
            <w:pPr>
              <w:rPr>
                <w:rFonts w:ascii="Arial" w:hAnsi="Arial" w:cs="Arial"/>
                <w:sz w:val="24"/>
                <w:szCs w:val="24"/>
              </w:rPr>
            </w:pPr>
          </w:p>
        </w:tc>
      </w:tr>
      <w:tr w:rsidR="00A335EC" w:rsidRPr="00681267" w:rsidTr="00A335EC">
        <w:tc>
          <w:tcPr>
            <w:tcW w:w="1242" w:type="dxa"/>
          </w:tcPr>
          <w:p w:rsidR="00A335EC" w:rsidRPr="00681267" w:rsidRDefault="00A335EC" w:rsidP="0045195E">
            <w:pPr>
              <w:rPr>
                <w:rFonts w:ascii="Arial" w:hAnsi="Arial" w:cs="Arial"/>
                <w:sz w:val="24"/>
                <w:szCs w:val="24"/>
              </w:rPr>
            </w:pPr>
            <w:r w:rsidRPr="00681267">
              <w:rPr>
                <w:rFonts w:ascii="Arial" w:hAnsi="Arial" w:cs="Arial"/>
                <w:sz w:val="24"/>
                <w:szCs w:val="24"/>
              </w:rPr>
              <w:t>2.1</w:t>
            </w:r>
            <w:r>
              <w:rPr>
                <w:rFonts w:ascii="Arial" w:hAnsi="Arial" w:cs="Arial"/>
                <w:sz w:val="24"/>
                <w:szCs w:val="24"/>
              </w:rPr>
              <w:t>2</w:t>
            </w:r>
          </w:p>
        </w:tc>
        <w:tc>
          <w:tcPr>
            <w:tcW w:w="8000" w:type="dxa"/>
          </w:tcPr>
          <w:p w:rsidR="00EF54DC" w:rsidRDefault="00FF3709" w:rsidP="00EF54DC">
            <w:pPr>
              <w:rPr>
                <w:rFonts w:ascii="Arial" w:hAnsi="Arial" w:cs="Arial"/>
                <w:sz w:val="24"/>
                <w:szCs w:val="24"/>
              </w:rPr>
            </w:pPr>
            <w:r>
              <w:rPr>
                <w:rFonts w:ascii="Arial" w:hAnsi="Arial" w:cs="Arial"/>
                <w:sz w:val="24"/>
                <w:szCs w:val="24"/>
              </w:rPr>
              <w:t>Staff. who were involved with Edward’s family.</w:t>
            </w:r>
            <w:r w:rsidR="00EF54DC" w:rsidRPr="00681267">
              <w:rPr>
                <w:rFonts w:ascii="Arial" w:hAnsi="Arial" w:cs="Arial"/>
                <w:sz w:val="24"/>
                <w:szCs w:val="24"/>
              </w:rPr>
              <w:t xml:space="preserve"> experienced some difficulty in working collaboratively </w:t>
            </w:r>
            <w:r w:rsidR="006F1293" w:rsidRPr="00681267">
              <w:rPr>
                <w:rFonts w:ascii="Arial" w:hAnsi="Arial" w:cs="Arial"/>
                <w:sz w:val="24"/>
                <w:szCs w:val="24"/>
              </w:rPr>
              <w:t xml:space="preserve">with </w:t>
            </w:r>
            <w:r>
              <w:rPr>
                <w:rFonts w:ascii="Arial" w:hAnsi="Arial" w:cs="Arial"/>
                <w:sz w:val="24"/>
                <w:szCs w:val="24"/>
              </w:rPr>
              <w:t>them. They had</w:t>
            </w:r>
            <w:r w:rsidR="00EF54DC" w:rsidRPr="00681267">
              <w:rPr>
                <w:rFonts w:ascii="Arial" w:hAnsi="Arial" w:cs="Arial"/>
                <w:sz w:val="24"/>
                <w:szCs w:val="24"/>
              </w:rPr>
              <w:t xml:space="preserve"> a rather different perspective to agencies about the kind and level of support that would be in the best interests of their disabled son/brother.</w:t>
            </w:r>
            <w:r w:rsidR="00EF54DC">
              <w:rPr>
                <w:rFonts w:ascii="Arial" w:hAnsi="Arial" w:cs="Arial"/>
                <w:sz w:val="24"/>
                <w:szCs w:val="24"/>
              </w:rPr>
              <w:t xml:space="preserve"> </w:t>
            </w:r>
          </w:p>
          <w:p w:rsidR="00A335EC" w:rsidRPr="00681267" w:rsidRDefault="00A335EC" w:rsidP="00D31BA1">
            <w:pPr>
              <w:rPr>
                <w:rFonts w:ascii="Arial" w:hAnsi="Arial" w:cs="Arial"/>
                <w:sz w:val="24"/>
                <w:szCs w:val="24"/>
              </w:rPr>
            </w:pPr>
          </w:p>
        </w:tc>
      </w:tr>
      <w:tr w:rsidR="00A335EC" w:rsidRPr="00681267" w:rsidTr="00A335EC">
        <w:tc>
          <w:tcPr>
            <w:tcW w:w="1242" w:type="dxa"/>
          </w:tcPr>
          <w:p w:rsidR="00A335EC" w:rsidRDefault="00A335EC" w:rsidP="0045195E">
            <w:pPr>
              <w:rPr>
                <w:rFonts w:ascii="Arial" w:hAnsi="Arial" w:cs="Arial"/>
                <w:sz w:val="24"/>
                <w:szCs w:val="24"/>
              </w:rPr>
            </w:pPr>
            <w:r>
              <w:rPr>
                <w:rFonts w:ascii="Arial" w:hAnsi="Arial" w:cs="Arial"/>
                <w:sz w:val="24"/>
                <w:szCs w:val="24"/>
              </w:rPr>
              <w:t>2.13</w:t>
            </w:r>
          </w:p>
        </w:tc>
        <w:tc>
          <w:tcPr>
            <w:tcW w:w="8000" w:type="dxa"/>
          </w:tcPr>
          <w:p w:rsidR="00B31327" w:rsidRDefault="00B31327" w:rsidP="00B31327">
            <w:pPr>
              <w:rPr>
                <w:rFonts w:ascii="Arial" w:hAnsi="Arial" w:cs="Arial"/>
                <w:sz w:val="24"/>
                <w:szCs w:val="24"/>
              </w:rPr>
            </w:pPr>
            <w:r>
              <w:rPr>
                <w:rFonts w:ascii="Arial" w:hAnsi="Arial" w:cs="Arial"/>
                <w:sz w:val="24"/>
                <w:szCs w:val="24"/>
              </w:rPr>
              <w:t>Edward</w:t>
            </w:r>
            <w:r w:rsidRPr="00681267">
              <w:rPr>
                <w:rFonts w:ascii="Arial" w:hAnsi="Arial" w:cs="Arial"/>
                <w:sz w:val="24"/>
                <w:szCs w:val="24"/>
              </w:rPr>
              <w:t xml:space="preserve">’s </w:t>
            </w:r>
            <w:r>
              <w:rPr>
                <w:rFonts w:ascii="Arial" w:hAnsi="Arial" w:cs="Arial"/>
                <w:sz w:val="24"/>
                <w:szCs w:val="24"/>
              </w:rPr>
              <w:t>mum</w:t>
            </w:r>
            <w:r w:rsidRPr="00681267">
              <w:rPr>
                <w:rFonts w:ascii="Arial" w:hAnsi="Arial" w:cs="Arial"/>
                <w:sz w:val="24"/>
                <w:szCs w:val="24"/>
              </w:rPr>
              <w:t xml:space="preserve"> and two sisters who had lived with him were invited to meet with the author</w:t>
            </w:r>
            <w:r>
              <w:rPr>
                <w:rFonts w:ascii="Arial" w:hAnsi="Arial" w:cs="Arial"/>
                <w:sz w:val="24"/>
                <w:szCs w:val="24"/>
              </w:rPr>
              <w:t xml:space="preserve"> to give their views about what had happened to their son/brother and what they believed agencies could have done differently</w:t>
            </w:r>
            <w:r w:rsidRPr="00681267">
              <w:rPr>
                <w:rFonts w:ascii="Arial" w:hAnsi="Arial" w:cs="Arial"/>
                <w:sz w:val="24"/>
                <w:szCs w:val="24"/>
              </w:rPr>
              <w:t xml:space="preserve">. An independent advocate was offered </w:t>
            </w:r>
            <w:r>
              <w:rPr>
                <w:rFonts w:ascii="Arial" w:hAnsi="Arial" w:cs="Arial"/>
                <w:sz w:val="24"/>
                <w:szCs w:val="24"/>
              </w:rPr>
              <w:t xml:space="preserve">and accepted </w:t>
            </w:r>
            <w:r w:rsidRPr="00681267">
              <w:rPr>
                <w:rFonts w:ascii="Arial" w:hAnsi="Arial" w:cs="Arial"/>
                <w:sz w:val="24"/>
                <w:szCs w:val="24"/>
              </w:rPr>
              <w:t>to enable her/them to take part</w:t>
            </w:r>
            <w:r>
              <w:rPr>
                <w:rFonts w:ascii="Arial" w:hAnsi="Arial" w:cs="Arial"/>
                <w:sz w:val="24"/>
                <w:szCs w:val="24"/>
              </w:rPr>
              <w:t xml:space="preserve"> and mum and one sister attended one meeting and his mum a second meeting with the advocate to discuss the findings and recommendations in an early draft report</w:t>
            </w:r>
            <w:r w:rsidRPr="00681267">
              <w:rPr>
                <w:rFonts w:ascii="Arial" w:hAnsi="Arial" w:cs="Arial"/>
                <w:sz w:val="24"/>
                <w:szCs w:val="24"/>
              </w:rPr>
              <w:t>.</w:t>
            </w:r>
          </w:p>
          <w:p w:rsidR="001A1282" w:rsidRDefault="001A1282" w:rsidP="0075001D">
            <w:pPr>
              <w:rPr>
                <w:rFonts w:ascii="Arial" w:hAnsi="Arial" w:cs="Arial"/>
                <w:sz w:val="24"/>
                <w:szCs w:val="24"/>
              </w:rPr>
            </w:pPr>
          </w:p>
        </w:tc>
      </w:tr>
      <w:tr w:rsidR="00A335EC" w:rsidRPr="00681267" w:rsidTr="00A335EC">
        <w:tc>
          <w:tcPr>
            <w:tcW w:w="1242" w:type="dxa"/>
          </w:tcPr>
          <w:p w:rsidR="00A335EC" w:rsidRPr="00681267" w:rsidRDefault="00A335EC">
            <w:pPr>
              <w:rPr>
                <w:rFonts w:ascii="Arial" w:hAnsi="Arial" w:cs="Arial"/>
                <w:sz w:val="24"/>
                <w:szCs w:val="24"/>
              </w:rPr>
            </w:pPr>
          </w:p>
        </w:tc>
        <w:tc>
          <w:tcPr>
            <w:tcW w:w="8000" w:type="dxa"/>
          </w:tcPr>
          <w:p w:rsidR="00A335EC" w:rsidRPr="00681267" w:rsidRDefault="00A335EC">
            <w:pPr>
              <w:rPr>
                <w:rFonts w:ascii="Arial" w:hAnsi="Arial" w:cs="Arial"/>
                <w:b/>
                <w:sz w:val="24"/>
                <w:szCs w:val="24"/>
              </w:rPr>
            </w:pPr>
            <w:r w:rsidRPr="00681267">
              <w:rPr>
                <w:rFonts w:ascii="Arial" w:hAnsi="Arial" w:cs="Arial"/>
                <w:b/>
                <w:sz w:val="24"/>
                <w:szCs w:val="24"/>
              </w:rPr>
              <w:t>Terms of Reference (TOR)</w:t>
            </w:r>
          </w:p>
        </w:tc>
      </w:tr>
      <w:tr w:rsidR="00A335EC" w:rsidRPr="00681267" w:rsidTr="00A335EC">
        <w:tc>
          <w:tcPr>
            <w:tcW w:w="1242" w:type="dxa"/>
          </w:tcPr>
          <w:p w:rsidR="00A335EC" w:rsidRPr="00681267" w:rsidRDefault="00A335EC">
            <w:pPr>
              <w:rPr>
                <w:rFonts w:ascii="Arial" w:hAnsi="Arial" w:cs="Arial"/>
                <w:sz w:val="24"/>
                <w:szCs w:val="24"/>
              </w:rPr>
            </w:pPr>
            <w:r w:rsidRPr="00681267">
              <w:rPr>
                <w:rFonts w:ascii="Arial" w:hAnsi="Arial" w:cs="Arial"/>
                <w:sz w:val="24"/>
                <w:szCs w:val="24"/>
              </w:rPr>
              <w:t>2.1</w:t>
            </w:r>
            <w:r>
              <w:rPr>
                <w:rFonts w:ascii="Arial" w:hAnsi="Arial" w:cs="Arial"/>
                <w:sz w:val="24"/>
                <w:szCs w:val="24"/>
              </w:rPr>
              <w:t>4</w:t>
            </w: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p w:rsidR="00A335EC" w:rsidRPr="00681267" w:rsidRDefault="00A335EC">
            <w:pPr>
              <w:rPr>
                <w:rFonts w:ascii="Arial" w:hAnsi="Arial" w:cs="Arial"/>
                <w:b/>
                <w:sz w:val="24"/>
                <w:szCs w:val="24"/>
              </w:rPr>
            </w:pPr>
          </w:p>
        </w:tc>
        <w:tc>
          <w:tcPr>
            <w:tcW w:w="8000" w:type="dxa"/>
          </w:tcPr>
          <w:p w:rsidR="00A335EC" w:rsidRPr="00681267" w:rsidRDefault="00A335EC" w:rsidP="004D4FD3">
            <w:pPr>
              <w:rPr>
                <w:rFonts w:ascii="Arial" w:hAnsi="Arial" w:cs="Arial"/>
                <w:sz w:val="24"/>
                <w:szCs w:val="24"/>
              </w:rPr>
            </w:pPr>
            <w:r w:rsidRPr="00681267">
              <w:rPr>
                <w:rFonts w:ascii="Arial" w:hAnsi="Arial" w:cs="Arial"/>
                <w:sz w:val="24"/>
                <w:szCs w:val="24"/>
              </w:rPr>
              <w:lastRenderedPageBreak/>
              <w:t>On the basis of information collected prior to the full Review being set up the Panel agreed the following TOR:</w:t>
            </w:r>
          </w:p>
          <w:p w:rsidR="00A335EC" w:rsidRPr="00681267" w:rsidRDefault="00A335EC" w:rsidP="004D4FD3">
            <w:pPr>
              <w:rPr>
                <w:rFonts w:ascii="Arial" w:hAnsi="Arial" w:cs="Arial"/>
                <w:sz w:val="24"/>
                <w:szCs w:val="24"/>
              </w:rPr>
            </w:pPr>
          </w:p>
          <w:p w:rsidR="00A335EC" w:rsidRPr="00681267" w:rsidRDefault="00A335EC" w:rsidP="004D4FD3">
            <w:pPr>
              <w:numPr>
                <w:ilvl w:val="0"/>
                <w:numId w:val="8"/>
              </w:numPr>
              <w:rPr>
                <w:rFonts w:ascii="Arial" w:hAnsi="Arial" w:cs="Arial"/>
                <w:sz w:val="24"/>
                <w:szCs w:val="24"/>
              </w:rPr>
            </w:pPr>
            <w:r w:rsidRPr="00681267">
              <w:rPr>
                <w:rFonts w:ascii="Arial" w:hAnsi="Arial" w:cs="Arial"/>
                <w:sz w:val="24"/>
                <w:szCs w:val="24"/>
              </w:rPr>
              <w:lastRenderedPageBreak/>
              <w:t>To identify whether</w:t>
            </w:r>
            <w:r w:rsidRPr="00681267">
              <w:rPr>
                <w:rFonts w:ascii="Arial" w:hAnsi="Arial" w:cs="Arial"/>
                <w:b/>
                <w:i/>
                <w:sz w:val="24"/>
                <w:szCs w:val="24"/>
              </w:rPr>
              <w:t xml:space="preserve"> </w:t>
            </w:r>
            <w:r w:rsidRPr="00681267">
              <w:rPr>
                <w:rFonts w:ascii="Arial" w:hAnsi="Arial" w:cs="Arial"/>
                <w:sz w:val="24"/>
                <w:szCs w:val="24"/>
              </w:rPr>
              <w:t xml:space="preserve">there were occasions when organisations which had contact with </w:t>
            </w:r>
            <w:r>
              <w:rPr>
                <w:rFonts w:ascii="Arial" w:hAnsi="Arial" w:cs="Arial"/>
                <w:sz w:val="24"/>
                <w:szCs w:val="24"/>
              </w:rPr>
              <w:t>Edward</w:t>
            </w:r>
            <w:r w:rsidRPr="00681267">
              <w:rPr>
                <w:rFonts w:ascii="Arial" w:hAnsi="Arial" w:cs="Arial"/>
                <w:sz w:val="24"/>
                <w:szCs w:val="24"/>
              </w:rPr>
              <w:t xml:space="preserve"> and his family missed opportunities to share key information and work effectively in partnership with each other - this to include secondary and primary health providers (including pharmacy); </w:t>
            </w:r>
            <w:r w:rsidR="00096C55">
              <w:rPr>
                <w:rFonts w:ascii="Arial" w:hAnsi="Arial" w:cs="Arial"/>
                <w:sz w:val="24"/>
                <w:szCs w:val="24"/>
              </w:rPr>
              <w:t>h</w:t>
            </w:r>
            <w:r w:rsidRPr="00681267">
              <w:rPr>
                <w:rFonts w:ascii="Arial" w:hAnsi="Arial" w:cs="Arial"/>
                <w:sz w:val="24"/>
                <w:szCs w:val="24"/>
              </w:rPr>
              <w:t>ousing providers; Police; Adult Social Care; and Adult Safeguarding.</w:t>
            </w:r>
          </w:p>
          <w:p w:rsidR="00A335EC" w:rsidRPr="00681267" w:rsidRDefault="00A335EC" w:rsidP="004D4FD3">
            <w:pPr>
              <w:rPr>
                <w:rFonts w:ascii="Arial" w:hAnsi="Arial" w:cs="Arial"/>
                <w:sz w:val="24"/>
                <w:szCs w:val="24"/>
              </w:rPr>
            </w:pPr>
          </w:p>
          <w:p w:rsidR="00A335EC" w:rsidRPr="00681267" w:rsidRDefault="00A335EC" w:rsidP="004D4FD3">
            <w:pPr>
              <w:numPr>
                <w:ilvl w:val="0"/>
                <w:numId w:val="8"/>
              </w:numPr>
              <w:rPr>
                <w:rFonts w:ascii="Arial" w:hAnsi="Arial" w:cs="Arial"/>
                <w:sz w:val="24"/>
                <w:szCs w:val="24"/>
              </w:rPr>
            </w:pPr>
            <w:r w:rsidRPr="00681267">
              <w:rPr>
                <w:rFonts w:ascii="Arial" w:hAnsi="Arial" w:cs="Arial"/>
                <w:sz w:val="24"/>
                <w:szCs w:val="24"/>
              </w:rPr>
              <w:t xml:space="preserve">To identify if the policy and practice of adult case management </w:t>
            </w:r>
            <w:r w:rsidR="00096C55">
              <w:rPr>
                <w:rFonts w:ascii="Arial" w:hAnsi="Arial" w:cs="Arial"/>
                <w:sz w:val="24"/>
                <w:szCs w:val="24"/>
              </w:rPr>
              <w:t>followed by</w:t>
            </w:r>
            <w:r w:rsidRPr="00681267">
              <w:rPr>
                <w:rFonts w:ascii="Arial" w:hAnsi="Arial" w:cs="Arial"/>
                <w:sz w:val="24"/>
                <w:szCs w:val="24"/>
              </w:rPr>
              <w:t xml:space="preserve"> health and social care providers is person</w:t>
            </w:r>
            <w:r>
              <w:rPr>
                <w:rFonts w:ascii="Arial" w:hAnsi="Arial" w:cs="Arial"/>
                <w:sz w:val="24"/>
                <w:szCs w:val="24"/>
              </w:rPr>
              <w:t>-</w:t>
            </w:r>
            <w:r w:rsidRPr="00681267">
              <w:rPr>
                <w:rFonts w:ascii="Arial" w:hAnsi="Arial" w:cs="Arial"/>
                <w:sz w:val="24"/>
                <w:szCs w:val="24"/>
              </w:rPr>
              <w:t>centred and effective in terms of safeguarding adults with identified vulnerabilities, which may put them at risk, particularly where the</w:t>
            </w:r>
            <w:r>
              <w:rPr>
                <w:rFonts w:ascii="Arial" w:hAnsi="Arial" w:cs="Arial"/>
                <w:sz w:val="24"/>
                <w:szCs w:val="24"/>
              </w:rPr>
              <w:t xml:space="preserve">y </w:t>
            </w:r>
            <w:r w:rsidRPr="00681267">
              <w:rPr>
                <w:rFonts w:ascii="Arial" w:hAnsi="Arial" w:cs="Arial"/>
                <w:sz w:val="24"/>
                <w:szCs w:val="24"/>
              </w:rPr>
              <w:t>or their carers seem unwilling to engage with support services.</w:t>
            </w:r>
          </w:p>
          <w:p w:rsidR="00A335EC" w:rsidRPr="00681267" w:rsidRDefault="00A335EC" w:rsidP="004D4FD3">
            <w:pPr>
              <w:rPr>
                <w:rFonts w:ascii="Arial" w:hAnsi="Arial" w:cs="Arial"/>
                <w:sz w:val="24"/>
                <w:szCs w:val="24"/>
              </w:rPr>
            </w:pPr>
          </w:p>
          <w:p w:rsidR="00A335EC" w:rsidRPr="00681267" w:rsidRDefault="00A335EC" w:rsidP="004D4FD3">
            <w:pPr>
              <w:numPr>
                <w:ilvl w:val="0"/>
                <w:numId w:val="8"/>
              </w:numPr>
              <w:rPr>
                <w:rFonts w:ascii="Arial" w:hAnsi="Arial" w:cs="Arial"/>
                <w:sz w:val="24"/>
                <w:szCs w:val="24"/>
              </w:rPr>
            </w:pPr>
            <w:r w:rsidRPr="00681267">
              <w:rPr>
                <w:rFonts w:ascii="Arial" w:hAnsi="Arial" w:cs="Arial"/>
                <w:sz w:val="24"/>
                <w:szCs w:val="24"/>
              </w:rPr>
              <w:t xml:space="preserve">To identify whether there were any issues </w:t>
            </w:r>
            <w:r w:rsidR="00096C55">
              <w:rPr>
                <w:rFonts w:ascii="Arial" w:hAnsi="Arial" w:cs="Arial"/>
                <w:sz w:val="24"/>
                <w:szCs w:val="24"/>
              </w:rPr>
              <w:t>related to</w:t>
            </w:r>
            <w:r w:rsidRPr="00681267">
              <w:rPr>
                <w:rFonts w:ascii="Arial" w:hAnsi="Arial" w:cs="Arial"/>
                <w:sz w:val="24"/>
                <w:szCs w:val="24"/>
              </w:rPr>
              <w:t xml:space="preserve"> the level of knowledge of staff about the legal/human rights of adults at risk and </w:t>
            </w:r>
            <w:r w:rsidR="00096C55">
              <w:rPr>
                <w:rFonts w:ascii="Arial" w:hAnsi="Arial" w:cs="Arial"/>
                <w:sz w:val="24"/>
                <w:szCs w:val="24"/>
              </w:rPr>
              <w:t xml:space="preserve">the </w:t>
            </w:r>
            <w:r w:rsidRPr="00681267">
              <w:rPr>
                <w:rFonts w:ascii="Arial" w:hAnsi="Arial" w:cs="Arial"/>
                <w:sz w:val="24"/>
                <w:szCs w:val="24"/>
              </w:rPr>
              <w:t>legal routes to promote legally compliant outcomes for adults with complex needs.</w:t>
            </w:r>
          </w:p>
          <w:p w:rsidR="00A335EC" w:rsidRPr="00681267" w:rsidRDefault="00A335EC" w:rsidP="004D4FD3">
            <w:pPr>
              <w:rPr>
                <w:rFonts w:ascii="Arial" w:hAnsi="Arial" w:cs="Arial"/>
                <w:sz w:val="24"/>
                <w:szCs w:val="24"/>
              </w:rPr>
            </w:pPr>
            <w:r w:rsidRPr="00681267">
              <w:rPr>
                <w:rFonts w:ascii="Arial" w:hAnsi="Arial" w:cs="Arial"/>
                <w:sz w:val="24"/>
                <w:szCs w:val="24"/>
              </w:rPr>
              <w:t xml:space="preserve"> </w:t>
            </w:r>
          </w:p>
          <w:p w:rsidR="00A335EC" w:rsidRDefault="00A335EC" w:rsidP="00762676">
            <w:pPr>
              <w:numPr>
                <w:ilvl w:val="0"/>
                <w:numId w:val="8"/>
              </w:numPr>
              <w:rPr>
                <w:rFonts w:ascii="Arial" w:hAnsi="Arial" w:cs="Arial"/>
                <w:sz w:val="24"/>
                <w:szCs w:val="24"/>
              </w:rPr>
            </w:pPr>
            <w:r w:rsidRPr="00762676">
              <w:rPr>
                <w:rFonts w:ascii="Arial" w:hAnsi="Arial" w:cs="Arial"/>
                <w:sz w:val="24"/>
                <w:szCs w:val="24"/>
              </w:rPr>
              <w:t xml:space="preserve">To identify whether staff had a good awareness of and easy access to effective advocacy services to assist in supporting </w:t>
            </w:r>
            <w:r w:rsidR="00096C55">
              <w:rPr>
                <w:rFonts w:ascii="Arial" w:hAnsi="Arial" w:cs="Arial"/>
                <w:sz w:val="24"/>
                <w:szCs w:val="24"/>
              </w:rPr>
              <w:t>Edward</w:t>
            </w:r>
            <w:r w:rsidRPr="00762676">
              <w:rPr>
                <w:rFonts w:ascii="Arial" w:hAnsi="Arial" w:cs="Arial"/>
                <w:sz w:val="24"/>
                <w:szCs w:val="24"/>
              </w:rPr>
              <w:t xml:space="preserve"> to exercise his human rights as well as those of his family carer(s).</w:t>
            </w:r>
          </w:p>
          <w:p w:rsidR="007461C1" w:rsidRDefault="007461C1" w:rsidP="007461C1">
            <w:pPr>
              <w:pStyle w:val="ListParagraph"/>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Default="007461C1" w:rsidP="007461C1">
            <w:pPr>
              <w:rPr>
                <w:rFonts w:ascii="Arial" w:hAnsi="Arial" w:cs="Arial"/>
                <w:sz w:val="24"/>
                <w:szCs w:val="24"/>
              </w:rPr>
            </w:pPr>
          </w:p>
          <w:p w:rsidR="007461C1" w:rsidRPr="00681267" w:rsidRDefault="007461C1" w:rsidP="007461C1">
            <w:pPr>
              <w:rPr>
                <w:rFonts w:ascii="Arial" w:hAnsi="Arial" w:cs="Arial"/>
                <w:sz w:val="24"/>
                <w:szCs w:val="24"/>
              </w:rPr>
            </w:pPr>
          </w:p>
        </w:tc>
      </w:tr>
      <w:tr w:rsidR="00A335EC" w:rsidRPr="00681267" w:rsidTr="00A335EC">
        <w:tc>
          <w:tcPr>
            <w:tcW w:w="1242" w:type="dxa"/>
          </w:tcPr>
          <w:p w:rsidR="00A335EC" w:rsidRPr="008579E3" w:rsidRDefault="00A335EC">
            <w:pPr>
              <w:rPr>
                <w:rFonts w:ascii="Arial" w:hAnsi="Arial" w:cs="Arial"/>
                <w:sz w:val="28"/>
                <w:szCs w:val="28"/>
              </w:rPr>
            </w:pPr>
            <w:r w:rsidRPr="008579E3">
              <w:rPr>
                <w:rFonts w:ascii="Arial" w:hAnsi="Arial" w:cs="Arial"/>
                <w:sz w:val="28"/>
                <w:szCs w:val="28"/>
              </w:rPr>
              <w:lastRenderedPageBreak/>
              <w:t>3</w:t>
            </w:r>
          </w:p>
        </w:tc>
        <w:tc>
          <w:tcPr>
            <w:tcW w:w="8000" w:type="dxa"/>
          </w:tcPr>
          <w:p w:rsidR="00A335EC" w:rsidRPr="008579E3" w:rsidRDefault="00A335EC" w:rsidP="004D4FD3">
            <w:pPr>
              <w:rPr>
                <w:rFonts w:ascii="Arial" w:hAnsi="Arial" w:cs="Arial"/>
                <w:sz w:val="28"/>
                <w:szCs w:val="28"/>
              </w:rPr>
            </w:pPr>
            <w:r w:rsidRPr="008579E3">
              <w:rPr>
                <w:rFonts w:ascii="Arial" w:hAnsi="Arial" w:cs="Arial"/>
                <w:b/>
                <w:sz w:val="28"/>
                <w:szCs w:val="28"/>
              </w:rPr>
              <w:t>Key information, events, and interventions</w:t>
            </w:r>
          </w:p>
        </w:tc>
      </w:tr>
      <w:tr w:rsidR="00A335EC" w:rsidRPr="00681267" w:rsidTr="00A335EC">
        <w:tc>
          <w:tcPr>
            <w:tcW w:w="1242" w:type="dxa"/>
          </w:tcPr>
          <w:p w:rsidR="00A335EC" w:rsidRPr="00681267" w:rsidRDefault="00A335EC" w:rsidP="00003A16">
            <w:pPr>
              <w:rPr>
                <w:rFonts w:ascii="Arial" w:hAnsi="Arial" w:cs="Arial"/>
                <w:sz w:val="24"/>
                <w:szCs w:val="24"/>
              </w:rPr>
            </w:pPr>
            <w:r w:rsidRPr="00681267">
              <w:rPr>
                <w:rFonts w:ascii="Arial" w:hAnsi="Arial" w:cs="Arial"/>
                <w:sz w:val="24"/>
                <w:szCs w:val="24"/>
              </w:rPr>
              <w:t>3.1</w:t>
            </w:r>
          </w:p>
        </w:tc>
        <w:tc>
          <w:tcPr>
            <w:tcW w:w="8000" w:type="dxa"/>
          </w:tcPr>
          <w:p w:rsidR="00EF54DC" w:rsidRDefault="00EF54DC" w:rsidP="00EF54DC">
            <w:pPr>
              <w:rPr>
                <w:rFonts w:ascii="Arial" w:hAnsi="Arial" w:cs="Arial"/>
                <w:sz w:val="24"/>
                <w:szCs w:val="24"/>
              </w:rPr>
            </w:pPr>
            <w:r>
              <w:rPr>
                <w:rFonts w:ascii="Arial" w:hAnsi="Arial" w:cs="Arial"/>
                <w:sz w:val="24"/>
                <w:szCs w:val="24"/>
              </w:rPr>
              <w:t>Edward</w:t>
            </w:r>
            <w:r w:rsidRPr="00681267">
              <w:rPr>
                <w:rFonts w:ascii="Arial" w:hAnsi="Arial" w:cs="Arial"/>
                <w:sz w:val="24"/>
                <w:szCs w:val="24"/>
              </w:rPr>
              <w:t xml:space="preserve"> was a Liverpool born Caucasian man and the eldest of five children. During the time period relevant to this SAR</w:t>
            </w:r>
            <w:r>
              <w:rPr>
                <w:rFonts w:ascii="Arial" w:hAnsi="Arial" w:cs="Arial"/>
                <w:sz w:val="24"/>
                <w:szCs w:val="24"/>
              </w:rPr>
              <w:t xml:space="preserve"> (2013-15)</w:t>
            </w:r>
            <w:r w:rsidRPr="00681267">
              <w:rPr>
                <w:rFonts w:ascii="Arial" w:hAnsi="Arial" w:cs="Arial"/>
                <w:sz w:val="24"/>
                <w:szCs w:val="24"/>
              </w:rPr>
              <w:t xml:space="preserve"> </w:t>
            </w:r>
            <w:r>
              <w:rPr>
                <w:rFonts w:ascii="Arial" w:hAnsi="Arial" w:cs="Arial"/>
                <w:sz w:val="24"/>
                <w:szCs w:val="24"/>
              </w:rPr>
              <w:t>Edward</w:t>
            </w:r>
            <w:r w:rsidRPr="00681267">
              <w:rPr>
                <w:rFonts w:ascii="Arial" w:hAnsi="Arial" w:cs="Arial"/>
                <w:sz w:val="24"/>
                <w:szCs w:val="24"/>
              </w:rPr>
              <w:t xml:space="preserve"> lived with his 73 year old</w:t>
            </w:r>
            <w:r w:rsidR="00096C55">
              <w:rPr>
                <w:rFonts w:ascii="Arial" w:hAnsi="Arial" w:cs="Arial"/>
                <w:sz w:val="24"/>
                <w:szCs w:val="24"/>
              </w:rPr>
              <w:t xml:space="preserve"> (2015)</w:t>
            </w:r>
            <w:r w:rsidRPr="00681267">
              <w:rPr>
                <w:rFonts w:ascii="Arial" w:hAnsi="Arial" w:cs="Arial"/>
                <w:sz w:val="24"/>
                <w:szCs w:val="24"/>
              </w:rPr>
              <w:t xml:space="preserve"> </w:t>
            </w:r>
            <w:r>
              <w:rPr>
                <w:rFonts w:ascii="Arial" w:hAnsi="Arial" w:cs="Arial"/>
                <w:sz w:val="24"/>
                <w:szCs w:val="24"/>
              </w:rPr>
              <w:t>mum</w:t>
            </w:r>
            <w:r w:rsidRPr="00681267">
              <w:rPr>
                <w:rFonts w:ascii="Arial" w:hAnsi="Arial" w:cs="Arial"/>
                <w:sz w:val="24"/>
                <w:szCs w:val="24"/>
              </w:rPr>
              <w:t xml:space="preserve">, </w:t>
            </w:r>
            <w:r>
              <w:rPr>
                <w:rFonts w:ascii="Arial" w:hAnsi="Arial" w:cs="Arial"/>
                <w:sz w:val="24"/>
                <w:szCs w:val="24"/>
              </w:rPr>
              <w:t>and two sisters.</w:t>
            </w:r>
            <w:r w:rsidRPr="00681267">
              <w:rPr>
                <w:rFonts w:ascii="Arial" w:hAnsi="Arial" w:cs="Arial"/>
                <w:sz w:val="24"/>
                <w:szCs w:val="24"/>
              </w:rPr>
              <w:t xml:space="preserve"> </w:t>
            </w:r>
            <w:r>
              <w:rPr>
                <w:rFonts w:ascii="Arial" w:hAnsi="Arial" w:cs="Arial"/>
                <w:sz w:val="24"/>
                <w:szCs w:val="24"/>
              </w:rPr>
              <w:t>Professional staff</w:t>
            </w:r>
            <w:r w:rsidR="001A1282">
              <w:rPr>
                <w:rFonts w:ascii="Arial" w:hAnsi="Arial" w:cs="Arial"/>
                <w:sz w:val="24"/>
                <w:szCs w:val="24"/>
              </w:rPr>
              <w:t>,</w:t>
            </w:r>
            <w:r>
              <w:rPr>
                <w:rFonts w:ascii="Arial" w:hAnsi="Arial" w:cs="Arial"/>
                <w:sz w:val="24"/>
                <w:szCs w:val="24"/>
              </w:rPr>
              <w:t xml:space="preserve"> who had some contact with his sisters</w:t>
            </w:r>
            <w:r w:rsidR="001A1282">
              <w:rPr>
                <w:rFonts w:ascii="Arial" w:hAnsi="Arial" w:cs="Arial"/>
                <w:sz w:val="24"/>
                <w:szCs w:val="24"/>
              </w:rPr>
              <w:t>,</w:t>
            </w:r>
            <w:r>
              <w:rPr>
                <w:rFonts w:ascii="Arial" w:hAnsi="Arial" w:cs="Arial"/>
                <w:sz w:val="24"/>
                <w:szCs w:val="24"/>
              </w:rPr>
              <w:t xml:space="preserve"> believed both displayed some signs of vulnerability, though the older sister </w:t>
            </w:r>
            <w:r w:rsidR="00096C55">
              <w:rPr>
                <w:rFonts w:ascii="Arial" w:hAnsi="Arial" w:cs="Arial"/>
                <w:sz w:val="24"/>
                <w:szCs w:val="24"/>
              </w:rPr>
              <w:t xml:space="preserve">has </w:t>
            </w:r>
            <w:r>
              <w:rPr>
                <w:rFonts w:ascii="Arial" w:hAnsi="Arial" w:cs="Arial"/>
                <w:sz w:val="24"/>
                <w:szCs w:val="24"/>
              </w:rPr>
              <w:t>had a period of paid employment in the past</w:t>
            </w:r>
            <w:r w:rsidRPr="00681267">
              <w:rPr>
                <w:rFonts w:ascii="Arial" w:hAnsi="Arial" w:cs="Arial"/>
                <w:sz w:val="24"/>
                <w:szCs w:val="24"/>
              </w:rPr>
              <w:t xml:space="preserve">. </w:t>
            </w:r>
          </w:p>
          <w:p w:rsidR="00A335EC" w:rsidRPr="00681267" w:rsidRDefault="00A335EC" w:rsidP="002A381B">
            <w:pPr>
              <w:rPr>
                <w:rFonts w:ascii="Arial" w:hAnsi="Arial" w:cs="Arial"/>
                <w:sz w:val="24"/>
                <w:szCs w:val="24"/>
              </w:rPr>
            </w:pPr>
          </w:p>
        </w:tc>
      </w:tr>
      <w:tr w:rsidR="00EF54DC" w:rsidRPr="00681267" w:rsidTr="00A335EC">
        <w:tc>
          <w:tcPr>
            <w:tcW w:w="1242" w:type="dxa"/>
          </w:tcPr>
          <w:p w:rsidR="00EF54DC" w:rsidRPr="00681267" w:rsidRDefault="00EF347C" w:rsidP="00003A16">
            <w:pPr>
              <w:rPr>
                <w:rFonts w:ascii="Arial" w:hAnsi="Arial" w:cs="Arial"/>
                <w:sz w:val="24"/>
                <w:szCs w:val="24"/>
              </w:rPr>
            </w:pPr>
            <w:r>
              <w:rPr>
                <w:rFonts w:ascii="Arial" w:hAnsi="Arial" w:cs="Arial"/>
                <w:sz w:val="24"/>
                <w:szCs w:val="24"/>
              </w:rPr>
              <w:t>3.2</w:t>
            </w:r>
          </w:p>
        </w:tc>
        <w:tc>
          <w:tcPr>
            <w:tcW w:w="8000" w:type="dxa"/>
          </w:tcPr>
          <w:p w:rsidR="00EF54DC" w:rsidRDefault="00EF54DC" w:rsidP="00EF54DC">
            <w:pPr>
              <w:rPr>
                <w:rFonts w:ascii="Arial" w:hAnsi="Arial" w:cs="Arial"/>
                <w:sz w:val="24"/>
                <w:szCs w:val="24"/>
              </w:rPr>
            </w:pPr>
            <w:r w:rsidRPr="00681267">
              <w:rPr>
                <w:rFonts w:ascii="Arial" w:hAnsi="Arial" w:cs="Arial"/>
                <w:sz w:val="24"/>
                <w:szCs w:val="24"/>
              </w:rPr>
              <w:t xml:space="preserve">The review </w:t>
            </w:r>
            <w:r w:rsidR="00096C55">
              <w:rPr>
                <w:rFonts w:ascii="Arial" w:hAnsi="Arial" w:cs="Arial"/>
                <w:sz w:val="24"/>
                <w:szCs w:val="24"/>
              </w:rPr>
              <w:t>received</w:t>
            </w:r>
            <w:r w:rsidRPr="00681267">
              <w:rPr>
                <w:rFonts w:ascii="Arial" w:hAnsi="Arial" w:cs="Arial"/>
                <w:sz w:val="24"/>
                <w:szCs w:val="24"/>
              </w:rPr>
              <w:t xml:space="preserve"> very little information that could be verified about his father</w:t>
            </w:r>
            <w:r w:rsidR="001A1282">
              <w:rPr>
                <w:rFonts w:ascii="Arial" w:hAnsi="Arial" w:cs="Arial"/>
                <w:sz w:val="24"/>
                <w:szCs w:val="24"/>
              </w:rPr>
              <w:t xml:space="preserve"> and other two </w:t>
            </w:r>
            <w:r w:rsidR="007675C4">
              <w:rPr>
                <w:rFonts w:ascii="Arial" w:hAnsi="Arial" w:cs="Arial"/>
                <w:sz w:val="24"/>
                <w:szCs w:val="24"/>
              </w:rPr>
              <w:t xml:space="preserve">non resident </w:t>
            </w:r>
            <w:r w:rsidR="001A1282">
              <w:rPr>
                <w:rFonts w:ascii="Arial" w:hAnsi="Arial" w:cs="Arial"/>
                <w:sz w:val="24"/>
                <w:szCs w:val="24"/>
              </w:rPr>
              <w:t>siblings</w:t>
            </w:r>
            <w:r w:rsidRPr="00681267">
              <w:rPr>
                <w:rFonts w:ascii="Arial" w:hAnsi="Arial" w:cs="Arial"/>
                <w:sz w:val="24"/>
                <w:szCs w:val="24"/>
              </w:rPr>
              <w:t xml:space="preserve">. </w:t>
            </w:r>
            <w:r>
              <w:rPr>
                <w:rFonts w:ascii="Arial" w:hAnsi="Arial" w:cs="Arial"/>
                <w:sz w:val="24"/>
                <w:szCs w:val="24"/>
              </w:rPr>
              <w:t xml:space="preserve">His parents divorced and Edward’s mum and </w:t>
            </w:r>
            <w:r w:rsidR="001A1282">
              <w:rPr>
                <w:rFonts w:ascii="Arial" w:hAnsi="Arial" w:cs="Arial"/>
                <w:sz w:val="24"/>
                <w:szCs w:val="24"/>
              </w:rPr>
              <w:t xml:space="preserve">two sisters </w:t>
            </w:r>
            <w:r>
              <w:rPr>
                <w:rFonts w:ascii="Arial" w:hAnsi="Arial" w:cs="Arial"/>
                <w:sz w:val="24"/>
                <w:szCs w:val="24"/>
              </w:rPr>
              <w:t>moved to</w:t>
            </w:r>
            <w:r w:rsidRPr="00681267">
              <w:rPr>
                <w:rFonts w:ascii="Arial" w:hAnsi="Arial" w:cs="Arial"/>
                <w:sz w:val="24"/>
                <w:szCs w:val="24"/>
              </w:rPr>
              <w:t xml:space="preserve"> rented housing </w:t>
            </w:r>
            <w:r>
              <w:rPr>
                <w:rFonts w:ascii="Arial" w:hAnsi="Arial" w:cs="Arial"/>
                <w:sz w:val="24"/>
                <w:szCs w:val="24"/>
              </w:rPr>
              <w:t xml:space="preserve">in a poorer area of Liverpool. His mum believed their reduced financial </w:t>
            </w:r>
            <w:r w:rsidR="009E52C3">
              <w:rPr>
                <w:rFonts w:ascii="Arial" w:hAnsi="Arial" w:cs="Arial"/>
                <w:sz w:val="24"/>
                <w:szCs w:val="24"/>
              </w:rPr>
              <w:t>circumstances</w:t>
            </w:r>
            <w:r w:rsidR="009E52C3" w:rsidRPr="00681267">
              <w:rPr>
                <w:rFonts w:ascii="Arial" w:hAnsi="Arial" w:cs="Arial"/>
                <w:sz w:val="24"/>
                <w:szCs w:val="24"/>
              </w:rPr>
              <w:t xml:space="preserve"> necessitated</w:t>
            </w:r>
            <w:r w:rsidR="007675C4">
              <w:rPr>
                <w:rFonts w:ascii="Arial" w:hAnsi="Arial" w:cs="Arial"/>
                <w:sz w:val="24"/>
                <w:szCs w:val="24"/>
              </w:rPr>
              <w:t xml:space="preserve"> </w:t>
            </w:r>
            <w:r w:rsidRPr="00681267">
              <w:rPr>
                <w:rFonts w:ascii="Arial" w:hAnsi="Arial" w:cs="Arial"/>
                <w:sz w:val="24"/>
                <w:szCs w:val="24"/>
              </w:rPr>
              <w:t>a range of deprivations: living without heating, lighting</w:t>
            </w:r>
            <w:r>
              <w:rPr>
                <w:rFonts w:ascii="Arial" w:hAnsi="Arial" w:cs="Arial"/>
                <w:sz w:val="24"/>
                <w:szCs w:val="24"/>
              </w:rPr>
              <w:t>,</w:t>
            </w:r>
            <w:r w:rsidRPr="00681267">
              <w:rPr>
                <w:rFonts w:ascii="Arial" w:hAnsi="Arial" w:cs="Arial"/>
                <w:sz w:val="24"/>
                <w:szCs w:val="24"/>
              </w:rPr>
              <w:t xml:space="preserve"> and hot water for periods</w:t>
            </w:r>
            <w:r>
              <w:rPr>
                <w:rFonts w:ascii="Arial" w:hAnsi="Arial" w:cs="Arial"/>
                <w:sz w:val="24"/>
                <w:szCs w:val="24"/>
              </w:rPr>
              <w:t xml:space="preserve"> of time</w:t>
            </w:r>
            <w:r w:rsidRPr="00681267">
              <w:rPr>
                <w:rFonts w:ascii="Arial" w:hAnsi="Arial" w:cs="Arial"/>
                <w:sz w:val="24"/>
                <w:szCs w:val="24"/>
              </w:rPr>
              <w:t>; no television</w:t>
            </w:r>
            <w:r>
              <w:rPr>
                <w:rFonts w:ascii="Arial" w:hAnsi="Arial" w:cs="Arial"/>
                <w:sz w:val="24"/>
                <w:szCs w:val="24"/>
              </w:rPr>
              <w:t>;</w:t>
            </w:r>
            <w:r w:rsidRPr="00681267">
              <w:rPr>
                <w:rFonts w:ascii="Arial" w:hAnsi="Arial" w:cs="Arial"/>
                <w:sz w:val="24"/>
                <w:szCs w:val="24"/>
              </w:rPr>
              <w:t xml:space="preserve"> and not always having access to a telephone</w:t>
            </w:r>
            <w:r>
              <w:rPr>
                <w:rFonts w:ascii="Arial" w:hAnsi="Arial" w:cs="Arial"/>
                <w:sz w:val="24"/>
                <w:szCs w:val="24"/>
              </w:rPr>
              <w:t>.</w:t>
            </w:r>
          </w:p>
          <w:p w:rsidR="00EF347C" w:rsidRDefault="00EF347C" w:rsidP="00EF54DC">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3</w:t>
            </w:r>
          </w:p>
        </w:tc>
        <w:tc>
          <w:tcPr>
            <w:tcW w:w="8000" w:type="dxa"/>
          </w:tcPr>
          <w:p w:rsidR="00A335EC" w:rsidRDefault="00A335EC" w:rsidP="00844ABF">
            <w:pPr>
              <w:rPr>
                <w:rFonts w:ascii="Arial" w:hAnsi="Arial" w:cs="Arial"/>
                <w:sz w:val="24"/>
                <w:szCs w:val="24"/>
              </w:rPr>
            </w:pPr>
            <w:r w:rsidRPr="00681267">
              <w:rPr>
                <w:rFonts w:ascii="Arial" w:hAnsi="Arial" w:cs="Arial"/>
                <w:sz w:val="24"/>
                <w:szCs w:val="24"/>
              </w:rPr>
              <w:t xml:space="preserve">Education and </w:t>
            </w:r>
            <w:r w:rsidR="00F41FB8">
              <w:rPr>
                <w:rFonts w:ascii="Arial" w:hAnsi="Arial" w:cs="Arial"/>
                <w:sz w:val="24"/>
                <w:szCs w:val="24"/>
              </w:rPr>
              <w:t xml:space="preserve">Children’s </w:t>
            </w:r>
            <w:r w:rsidR="00096C55">
              <w:rPr>
                <w:rFonts w:ascii="Arial" w:hAnsi="Arial" w:cs="Arial"/>
                <w:sz w:val="24"/>
                <w:szCs w:val="24"/>
              </w:rPr>
              <w:t>S</w:t>
            </w:r>
            <w:r w:rsidRPr="00681267">
              <w:rPr>
                <w:rFonts w:ascii="Arial" w:hAnsi="Arial" w:cs="Arial"/>
                <w:sz w:val="24"/>
                <w:szCs w:val="24"/>
              </w:rPr>
              <w:t xml:space="preserve">ocial </w:t>
            </w:r>
            <w:r w:rsidR="00096C55">
              <w:rPr>
                <w:rFonts w:ascii="Arial" w:hAnsi="Arial" w:cs="Arial"/>
                <w:sz w:val="24"/>
                <w:szCs w:val="24"/>
              </w:rPr>
              <w:t>S</w:t>
            </w:r>
            <w:r w:rsidRPr="00681267">
              <w:rPr>
                <w:rFonts w:ascii="Arial" w:hAnsi="Arial" w:cs="Arial"/>
                <w:sz w:val="24"/>
                <w:szCs w:val="24"/>
              </w:rPr>
              <w:t xml:space="preserve">ervices had some involvement with him as a child/young </w:t>
            </w:r>
            <w:r>
              <w:rPr>
                <w:rFonts w:ascii="Arial" w:hAnsi="Arial" w:cs="Arial"/>
                <w:sz w:val="24"/>
                <w:szCs w:val="24"/>
              </w:rPr>
              <w:t>man. From experiences when he was a child his mum and sisters</w:t>
            </w:r>
            <w:r w:rsidRPr="00681267">
              <w:rPr>
                <w:rFonts w:ascii="Arial" w:hAnsi="Arial" w:cs="Arial"/>
                <w:sz w:val="24"/>
                <w:szCs w:val="24"/>
              </w:rPr>
              <w:t xml:space="preserve"> believed social workers wanted to </w:t>
            </w:r>
            <w:r w:rsidR="00096C55">
              <w:rPr>
                <w:rFonts w:ascii="Arial" w:hAnsi="Arial" w:cs="Arial"/>
                <w:sz w:val="24"/>
                <w:szCs w:val="24"/>
              </w:rPr>
              <w:t>“</w:t>
            </w:r>
            <w:r w:rsidRPr="00681267">
              <w:rPr>
                <w:rFonts w:ascii="Arial" w:hAnsi="Arial" w:cs="Arial"/>
                <w:sz w:val="24"/>
                <w:szCs w:val="24"/>
              </w:rPr>
              <w:t>take him away</w:t>
            </w:r>
            <w:r w:rsidR="00096C55">
              <w:rPr>
                <w:rFonts w:ascii="Arial" w:hAnsi="Arial" w:cs="Arial"/>
                <w:sz w:val="24"/>
                <w:szCs w:val="24"/>
              </w:rPr>
              <w:t>”</w:t>
            </w:r>
            <w:r w:rsidRPr="00681267">
              <w:rPr>
                <w:rFonts w:ascii="Arial" w:hAnsi="Arial" w:cs="Arial"/>
                <w:sz w:val="24"/>
                <w:szCs w:val="24"/>
              </w:rPr>
              <w:t xml:space="preserve">. </w:t>
            </w:r>
            <w:r>
              <w:rPr>
                <w:rFonts w:ascii="Arial" w:hAnsi="Arial" w:cs="Arial"/>
                <w:sz w:val="24"/>
                <w:szCs w:val="24"/>
              </w:rPr>
              <w:t xml:space="preserve">This belief was evident in family interactions with agencies, particularly </w:t>
            </w:r>
            <w:r w:rsidR="00F41FB8">
              <w:rPr>
                <w:rFonts w:ascii="Arial" w:hAnsi="Arial" w:cs="Arial"/>
                <w:sz w:val="24"/>
                <w:szCs w:val="24"/>
              </w:rPr>
              <w:t>social care services</w:t>
            </w:r>
            <w:r w:rsidR="00096C55">
              <w:rPr>
                <w:rFonts w:ascii="Arial" w:hAnsi="Arial" w:cs="Arial"/>
                <w:sz w:val="24"/>
                <w:szCs w:val="24"/>
              </w:rPr>
              <w:t>,</w:t>
            </w:r>
            <w:r>
              <w:rPr>
                <w:rFonts w:ascii="Arial" w:hAnsi="Arial" w:cs="Arial"/>
                <w:sz w:val="24"/>
                <w:szCs w:val="24"/>
              </w:rPr>
              <w:t xml:space="preserve"> throughout his life.</w:t>
            </w:r>
          </w:p>
          <w:p w:rsidR="00A335EC" w:rsidRPr="00681267" w:rsidRDefault="00A335EC" w:rsidP="00844ABF">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4</w:t>
            </w:r>
          </w:p>
        </w:tc>
        <w:tc>
          <w:tcPr>
            <w:tcW w:w="8000" w:type="dxa"/>
          </w:tcPr>
          <w:p w:rsidR="00A335EC" w:rsidRPr="00681267" w:rsidRDefault="00A335EC" w:rsidP="00332E79">
            <w:pPr>
              <w:rPr>
                <w:rFonts w:ascii="Arial" w:hAnsi="Arial" w:cs="Arial"/>
                <w:sz w:val="24"/>
                <w:szCs w:val="24"/>
              </w:rPr>
            </w:pPr>
            <w:r w:rsidRPr="00681267">
              <w:rPr>
                <w:rFonts w:ascii="Arial" w:hAnsi="Arial" w:cs="Arial"/>
                <w:sz w:val="24"/>
                <w:szCs w:val="24"/>
              </w:rPr>
              <w:t xml:space="preserve">Whilst case file material prior to January 2013 </w:t>
            </w:r>
            <w:r>
              <w:rPr>
                <w:rFonts w:ascii="Arial" w:hAnsi="Arial" w:cs="Arial"/>
                <w:sz w:val="24"/>
                <w:szCs w:val="24"/>
              </w:rPr>
              <w:t xml:space="preserve">was </w:t>
            </w:r>
            <w:r w:rsidRPr="00681267">
              <w:rPr>
                <w:rFonts w:ascii="Arial" w:hAnsi="Arial" w:cs="Arial"/>
                <w:sz w:val="24"/>
                <w:szCs w:val="24"/>
              </w:rPr>
              <w:t xml:space="preserve">not viewed </w:t>
            </w:r>
            <w:r w:rsidR="00096C55">
              <w:rPr>
                <w:rFonts w:ascii="Arial" w:hAnsi="Arial" w:cs="Arial"/>
                <w:sz w:val="24"/>
                <w:szCs w:val="24"/>
              </w:rPr>
              <w:t>in</w:t>
            </w:r>
            <w:r w:rsidRPr="00681267">
              <w:rPr>
                <w:rFonts w:ascii="Arial" w:hAnsi="Arial" w:cs="Arial"/>
                <w:sz w:val="24"/>
                <w:szCs w:val="24"/>
              </w:rPr>
              <w:t xml:space="preserve"> conducting this Review, it is reported that there has been a long history of difficulties </w:t>
            </w:r>
            <w:r>
              <w:rPr>
                <w:rFonts w:ascii="Arial" w:hAnsi="Arial" w:cs="Arial"/>
                <w:sz w:val="24"/>
                <w:szCs w:val="24"/>
              </w:rPr>
              <w:t>for</w:t>
            </w:r>
            <w:r w:rsidRPr="00681267">
              <w:rPr>
                <w:rFonts w:ascii="Arial" w:hAnsi="Arial" w:cs="Arial"/>
                <w:sz w:val="24"/>
                <w:szCs w:val="24"/>
              </w:rPr>
              <w:t xml:space="preserve"> professionals, particularly from </w:t>
            </w:r>
            <w:r w:rsidR="00F41FB8">
              <w:rPr>
                <w:rFonts w:ascii="Arial" w:hAnsi="Arial" w:cs="Arial"/>
                <w:sz w:val="24"/>
                <w:szCs w:val="24"/>
              </w:rPr>
              <w:t>Adult Social Care</w:t>
            </w:r>
            <w:r w:rsidRPr="00681267">
              <w:rPr>
                <w:rFonts w:ascii="Arial" w:hAnsi="Arial" w:cs="Arial"/>
                <w:sz w:val="24"/>
                <w:szCs w:val="24"/>
              </w:rPr>
              <w:t>,</w:t>
            </w:r>
            <w:r>
              <w:rPr>
                <w:rFonts w:ascii="Arial" w:hAnsi="Arial" w:cs="Arial"/>
                <w:sz w:val="24"/>
                <w:szCs w:val="24"/>
              </w:rPr>
              <w:t xml:space="preserve"> in </w:t>
            </w:r>
            <w:r w:rsidRPr="00681267">
              <w:rPr>
                <w:rFonts w:ascii="Arial" w:hAnsi="Arial" w:cs="Arial"/>
                <w:sz w:val="24"/>
                <w:szCs w:val="24"/>
              </w:rPr>
              <w:t>develop</w:t>
            </w:r>
            <w:r>
              <w:rPr>
                <w:rFonts w:ascii="Arial" w:hAnsi="Arial" w:cs="Arial"/>
                <w:sz w:val="24"/>
                <w:szCs w:val="24"/>
              </w:rPr>
              <w:t>ing</w:t>
            </w:r>
            <w:r w:rsidRPr="00681267">
              <w:rPr>
                <w:rFonts w:ascii="Arial" w:hAnsi="Arial" w:cs="Arial"/>
                <w:sz w:val="24"/>
                <w:szCs w:val="24"/>
              </w:rPr>
              <w:t xml:space="preserve"> a trusting and supportive relationship with </w:t>
            </w:r>
            <w:r>
              <w:rPr>
                <w:rFonts w:ascii="Arial" w:hAnsi="Arial" w:cs="Arial"/>
                <w:sz w:val="24"/>
                <w:szCs w:val="24"/>
              </w:rPr>
              <w:t>Edward’s mum</w:t>
            </w:r>
            <w:r w:rsidRPr="00681267">
              <w:rPr>
                <w:rFonts w:ascii="Arial" w:hAnsi="Arial" w:cs="Arial"/>
                <w:sz w:val="24"/>
                <w:szCs w:val="24"/>
              </w:rPr>
              <w:t>. This resulted in little direct access to the family home and</w:t>
            </w:r>
            <w:r>
              <w:rPr>
                <w:rFonts w:ascii="Arial" w:hAnsi="Arial" w:cs="Arial"/>
                <w:sz w:val="24"/>
                <w:szCs w:val="24"/>
              </w:rPr>
              <w:t xml:space="preserve"> very</w:t>
            </w:r>
            <w:r w:rsidRPr="00681267">
              <w:rPr>
                <w:rFonts w:ascii="Arial" w:hAnsi="Arial" w:cs="Arial"/>
                <w:sz w:val="24"/>
                <w:szCs w:val="24"/>
              </w:rPr>
              <w:t xml:space="preserve"> limited direct contact with </w:t>
            </w:r>
            <w:r>
              <w:rPr>
                <w:rFonts w:ascii="Arial" w:hAnsi="Arial" w:cs="Arial"/>
                <w:sz w:val="24"/>
                <w:szCs w:val="24"/>
              </w:rPr>
              <w:t>Edward</w:t>
            </w:r>
            <w:r w:rsidRPr="00681267">
              <w:rPr>
                <w:rFonts w:ascii="Arial" w:hAnsi="Arial" w:cs="Arial"/>
                <w:sz w:val="24"/>
                <w:szCs w:val="24"/>
              </w:rPr>
              <w:t xml:space="preserve">. Care services inside the home and/or day support outside the house </w:t>
            </w:r>
            <w:r>
              <w:rPr>
                <w:rFonts w:ascii="Arial" w:hAnsi="Arial" w:cs="Arial"/>
                <w:sz w:val="24"/>
                <w:szCs w:val="24"/>
              </w:rPr>
              <w:t>were</w:t>
            </w:r>
            <w:r w:rsidRPr="00681267">
              <w:rPr>
                <w:rFonts w:ascii="Arial" w:hAnsi="Arial" w:cs="Arial"/>
                <w:sz w:val="24"/>
                <w:szCs w:val="24"/>
              </w:rPr>
              <w:t xml:space="preserve"> consistently refused</w:t>
            </w:r>
            <w:r>
              <w:rPr>
                <w:rFonts w:ascii="Arial" w:hAnsi="Arial" w:cs="Arial"/>
                <w:sz w:val="24"/>
                <w:szCs w:val="24"/>
              </w:rPr>
              <w:t xml:space="preserve"> by his mum</w:t>
            </w:r>
            <w:r w:rsidRPr="00681267">
              <w:rPr>
                <w:rFonts w:ascii="Arial" w:hAnsi="Arial" w:cs="Arial"/>
                <w:sz w:val="24"/>
                <w:szCs w:val="24"/>
              </w:rPr>
              <w:t xml:space="preserve">. </w:t>
            </w:r>
          </w:p>
          <w:p w:rsidR="00A335EC" w:rsidRPr="00681267" w:rsidRDefault="00A335EC" w:rsidP="00312711">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5</w:t>
            </w:r>
          </w:p>
        </w:tc>
        <w:tc>
          <w:tcPr>
            <w:tcW w:w="8000" w:type="dxa"/>
          </w:tcPr>
          <w:p w:rsidR="00A335EC" w:rsidRPr="00810585" w:rsidRDefault="00A335EC" w:rsidP="00F62085">
            <w:pPr>
              <w:rPr>
                <w:rFonts w:ascii="Arial" w:hAnsi="Arial" w:cs="Arial"/>
                <w:sz w:val="24"/>
                <w:szCs w:val="24"/>
              </w:rPr>
            </w:pPr>
            <w:r w:rsidRPr="00810585">
              <w:rPr>
                <w:rFonts w:ascii="Arial" w:hAnsi="Arial" w:cs="Arial"/>
                <w:sz w:val="24"/>
                <w:szCs w:val="24"/>
              </w:rPr>
              <w:t xml:space="preserve">The first contacts with Edward’s family by Merseyside Police occurred In January 2013 when Edward’s mum reported that unknown persons were throwing snowballs at the house. Although there was no verifiable evidence of the anti social behaviour (ASB) police officers referred the matter to Sigma (Disability Hate Crime Investigation Unit) and to the Family Crime Investigation Unit. </w:t>
            </w:r>
          </w:p>
          <w:p w:rsidR="00A335EC" w:rsidRPr="00810585" w:rsidRDefault="00A335EC" w:rsidP="00F62085">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6</w:t>
            </w:r>
          </w:p>
        </w:tc>
        <w:tc>
          <w:tcPr>
            <w:tcW w:w="8000" w:type="dxa"/>
          </w:tcPr>
          <w:p w:rsidR="00A335EC" w:rsidRPr="00810585" w:rsidRDefault="00A335EC" w:rsidP="00F62085">
            <w:pPr>
              <w:rPr>
                <w:rFonts w:ascii="Arial" w:hAnsi="Arial" w:cs="Arial"/>
                <w:sz w:val="24"/>
                <w:szCs w:val="24"/>
              </w:rPr>
            </w:pPr>
            <w:r w:rsidRPr="00810585">
              <w:rPr>
                <w:rFonts w:ascii="Arial" w:hAnsi="Arial" w:cs="Arial"/>
                <w:sz w:val="24"/>
                <w:szCs w:val="24"/>
              </w:rPr>
              <w:t xml:space="preserve">The police officers were concerned about the vulnerability of family members and also the housing conditions. They made referrals to Liverpool CC Adult Social </w:t>
            </w:r>
            <w:r w:rsidR="00F41FB8">
              <w:rPr>
                <w:rFonts w:ascii="Arial" w:hAnsi="Arial" w:cs="Arial"/>
                <w:sz w:val="24"/>
                <w:szCs w:val="24"/>
              </w:rPr>
              <w:t>Care</w:t>
            </w:r>
            <w:r w:rsidRPr="00810585">
              <w:rPr>
                <w:rFonts w:ascii="Arial" w:hAnsi="Arial" w:cs="Arial"/>
                <w:sz w:val="24"/>
                <w:szCs w:val="24"/>
              </w:rPr>
              <w:t>, and to the landlord, Cobalt Housing.</w:t>
            </w:r>
          </w:p>
          <w:p w:rsidR="00A335EC" w:rsidRPr="00810585" w:rsidRDefault="00A335EC" w:rsidP="00F62085">
            <w:pPr>
              <w:rPr>
                <w:rFonts w:ascii="Arial" w:hAnsi="Arial" w:cs="Arial"/>
                <w:sz w:val="24"/>
                <w:szCs w:val="24"/>
              </w:rPr>
            </w:pPr>
          </w:p>
        </w:tc>
      </w:tr>
      <w:tr w:rsidR="00A335EC" w:rsidRPr="00681267" w:rsidTr="00A335EC">
        <w:tc>
          <w:tcPr>
            <w:tcW w:w="1242" w:type="dxa"/>
          </w:tcPr>
          <w:p w:rsidR="00A335EC" w:rsidRPr="00681267" w:rsidRDefault="00EF347C" w:rsidP="00F138CB">
            <w:pPr>
              <w:rPr>
                <w:rFonts w:ascii="Arial" w:hAnsi="Arial" w:cs="Arial"/>
                <w:sz w:val="24"/>
                <w:szCs w:val="24"/>
              </w:rPr>
            </w:pPr>
            <w:r>
              <w:rPr>
                <w:rFonts w:ascii="Arial" w:hAnsi="Arial" w:cs="Arial"/>
                <w:sz w:val="24"/>
                <w:szCs w:val="24"/>
              </w:rPr>
              <w:t>3.7</w:t>
            </w:r>
          </w:p>
        </w:tc>
        <w:tc>
          <w:tcPr>
            <w:tcW w:w="8000" w:type="dxa"/>
          </w:tcPr>
          <w:p w:rsidR="00A335EC" w:rsidRPr="00810585" w:rsidRDefault="00A335EC" w:rsidP="00C0096E">
            <w:pPr>
              <w:rPr>
                <w:rFonts w:ascii="Arial" w:hAnsi="Arial" w:cs="Arial"/>
                <w:sz w:val="24"/>
                <w:szCs w:val="24"/>
              </w:rPr>
            </w:pPr>
            <w:r w:rsidRPr="00810585">
              <w:rPr>
                <w:rFonts w:ascii="Arial" w:hAnsi="Arial" w:cs="Arial"/>
                <w:sz w:val="24"/>
                <w:szCs w:val="24"/>
              </w:rPr>
              <w:t>Over the next six months, the family reported three further instances of similar ASB and on one occasion an instance of assault away from the home on the eldest daughter. The police carried out investigations but were unable to find evidence to take the family’s concerns further. They gave guidance and reassurance but their prime concern was to seek other professionals</w:t>
            </w:r>
            <w:r w:rsidR="00157F21">
              <w:rPr>
                <w:rFonts w:ascii="Arial" w:hAnsi="Arial" w:cs="Arial"/>
                <w:sz w:val="24"/>
                <w:szCs w:val="24"/>
              </w:rPr>
              <w:t>’</w:t>
            </w:r>
            <w:r w:rsidRPr="00810585">
              <w:rPr>
                <w:rFonts w:ascii="Arial" w:hAnsi="Arial" w:cs="Arial"/>
                <w:sz w:val="24"/>
                <w:szCs w:val="24"/>
              </w:rPr>
              <w:t xml:space="preserve"> support to help the family deal with their housing</w:t>
            </w:r>
            <w:r w:rsidR="00157F21">
              <w:rPr>
                <w:rFonts w:ascii="Arial" w:hAnsi="Arial" w:cs="Arial"/>
                <w:sz w:val="24"/>
                <w:szCs w:val="24"/>
              </w:rPr>
              <w:t>-</w:t>
            </w:r>
            <w:r w:rsidRPr="00810585">
              <w:rPr>
                <w:rFonts w:ascii="Arial" w:hAnsi="Arial" w:cs="Arial"/>
                <w:sz w:val="24"/>
                <w:szCs w:val="24"/>
              </w:rPr>
              <w:t>related difficulties.</w:t>
            </w:r>
          </w:p>
          <w:p w:rsidR="00A335EC" w:rsidRPr="00810585" w:rsidRDefault="00A335EC" w:rsidP="00C0096E">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lastRenderedPageBreak/>
              <w:t>3.</w:t>
            </w:r>
            <w:r w:rsidR="00EF347C">
              <w:rPr>
                <w:rFonts w:ascii="Arial" w:hAnsi="Arial" w:cs="Arial"/>
                <w:sz w:val="24"/>
                <w:szCs w:val="24"/>
              </w:rPr>
              <w:t>8</w:t>
            </w:r>
          </w:p>
        </w:tc>
        <w:tc>
          <w:tcPr>
            <w:tcW w:w="8000" w:type="dxa"/>
          </w:tcPr>
          <w:p w:rsidR="00A335EC" w:rsidRPr="00810585" w:rsidRDefault="00A335EC" w:rsidP="00430D14">
            <w:pPr>
              <w:rPr>
                <w:rFonts w:ascii="Arial" w:hAnsi="Arial" w:cs="Arial"/>
                <w:sz w:val="24"/>
                <w:szCs w:val="24"/>
              </w:rPr>
            </w:pPr>
            <w:r w:rsidRPr="00810585">
              <w:rPr>
                <w:rFonts w:ascii="Arial" w:hAnsi="Arial" w:cs="Arial"/>
                <w:sz w:val="24"/>
                <w:szCs w:val="24"/>
              </w:rPr>
              <w:t xml:space="preserve">Other agencies made attempts to assess and support the family but reported that engagement was difficult. </w:t>
            </w:r>
          </w:p>
          <w:p w:rsidR="00EF54DC" w:rsidRPr="00810585" w:rsidRDefault="00EF54DC" w:rsidP="00430D14">
            <w:pPr>
              <w:rPr>
                <w:rFonts w:ascii="Arial" w:hAnsi="Arial" w:cs="Arial"/>
                <w:sz w:val="24"/>
                <w:szCs w:val="24"/>
              </w:rPr>
            </w:pPr>
            <w:r w:rsidRPr="00810585">
              <w:rPr>
                <w:rFonts w:ascii="Arial" w:hAnsi="Arial" w:cs="Arial"/>
                <w:sz w:val="24"/>
                <w:szCs w:val="24"/>
              </w:rPr>
              <w:t xml:space="preserve">In April 2013 the social worker, raised her concerns about the family within Liverpool CC Adult Social Care as a safeguarding matter. She was unable to make progress with Edward’s mum to deal with the matters raised in the referrals made by the police officers and Cobalt Housing.  </w:t>
            </w:r>
            <w:r w:rsidR="0031557D" w:rsidRPr="00810585">
              <w:rPr>
                <w:rFonts w:ascii="Arial" w:hAnsi="Arial" w:cs="Arial"/>
                <w:sz w:val="24"/>
                <w:szCs w:val="24"/>
              </w:rPr>
              <w:t>The social worker’s</w:t>
            </w:r>
            <w:r w:rsidRPr="00810585">
              <w:rPr>
                <w:rFonts w:ascii="Arial" w:hAnsi="Arial" w:cs="Arial"/>
                <w:sz w:val="24"/>
                <w:szCs w:val="24"/>
              </w:rPr>
              <w:t xml:space="preserve"> concerns included that this </w:t>
            </w:r>
            <w:r w:rsidR="00157F21">
              <w:rPr>
                <w:rFonts w:ascii="Arial" w:hAnsi="Arial" w:cs="Arial"/>
                <w:sz w:val="24"/>
                <w:szCs w:val="24"/>
              </w:rPr>
              <w:t>“</w:t>
            </w:r>
            <w:r w:rsidRPr="00810585">
              <w:rPr>
                <w:rFonts w:ascii="Arial" w:hAnsi="Arial" w:cs="Arial"/>
                <w:sz w:val="24"/>
                <w:szCs w:val="24"/>
              </w:rPr>
              <w:t>vulnerable family</w:t>
            </w:r>
            <w:r w:rsidR="00157F21">
              <w:rPr>
                <w:rFonts w:ascii="Arial" w:hAnsi="Arial" w:cs="Arial"/>
                <w:sz w:val="24"/>
                <w:szCs w:val="24"/>
              </w:rPr>
              <w:t>”</w:t>
            </w:r>
            <w:r w:rsidRPr="00810585">
              <w:rPr>
                <w:rFonts w:ascii="Arial" w:hAnsi="Arial" w:cs="Arial"/>
                <w:sz w:val="24"/>
                <w:szCs w:val="24"/>
              </w:rPr>
              <w:t xml:space="preserve"> had no heating or water, and repair works were being refused.</w:t>
            </w:r>
          </w:p>
          <w:p w:rsidR="00A335EC" w:rsidRPr="00810585" w:rsidRDefault="00A335EC" w:rsidP="00430D14">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9</w:t>
            </w:r>
          </w:p>
        </w:tc>
        <w:tc>
          <w:tcPr>
            <w:tcW w:w="8000" w:type="dxa"/>
          </w:tcPr>
          <w:p w:rsidR="00A335EC" w:rsidRPr="00810585" w:rsidRDefault="0031557D" w:rsidP="005E61A5">
            <w:pPr>
              <w:rPr>
                <w:rFonts w:ascii="Arial" w:hAnsi="Arial" w:cs="Arial"/>
                <w:sz w:val="24"/>
                <w:szCs w:val="24"/>
              </w:rPr>
            </w:pPr>
            <w:r w:rsidRPr="00810585">
              <w:rPr>
                <w:rFonts w:ascii="Arial" w:hAnsi="Arial" w:cs="Arial"/>
                <w:sz w:val="24"/>
                <w:szCs w:val="24"/>
              </w:rPr>
              <w:t xml:space="preserve">Staff believed that they needed to ascertain whether members of the family had mental health difficulties, </w:t>
            </w:r>
            <w:r w:rsidR="000E57C6" w:rsidRPr="00810585">
              <w:rPr>
                <w:rFonts w:ascii="Arial" w:hAnsi="Arial" w:cs="Arial"/>
                <w:sz w:val="24"/>
                <w:szCs w:val="24"/>
              </w:rPr>
              <w:t>i</w:t>
            </w:r>
            <w:r w:rsidRPr="00810585">
              <w:rPr>
                <w:rFonts w:ascii="Arial" w:hAnsi="Arial" w:cs="Arial"/>
                <w:sz w:val="24"/>
                <w:szCs w:val="24"/>
              </w:rPr>
              <w:t>ncluding mental capacity</w:t>
            </w:r>
            <w:r w:rsidR="000E57C6" w:rsidRPr="00810585">
              <w:rPr>
                <w:rFonts w:ascii="Arial" w:hAnsi="Arial" w:cs="Arial"/>
                <w:sz w:val="24"/>
                <w:szCs w:val="24"/>
              </w:rPr>
              <w:t xml:space="preserve"> issues</w:t>
            </w:r>
            <w:r w:rsidRPr="00810585">
              <w:rPr>
                <w:rFonts w:ascii="Arial" w:hAnsi="Arial" w:cs="Arial"/>
                <w:sz w:val="24"/>
                <w:szCs w:val="24"/>
              </w:rPr>
              <w:t>, affecting the</w:t>
            </w:r>
            <w:r w:rsidR="000E57C6" w:rsidRPr="00810585">
              <w:rPr>
                <w:rFonts w:ascii="Arial" w:hAnsi="Arial" w:cs="Arial"/>
                <w:sz w:val="24"/>
                <w:szCs w:val="24"/>
              </w:rPr>
              <w:t>ir</w:t>
            </w:r>
            <w:r w:rsidRPr="00810585">
              <w:rPr>
                <w:rFonts w:ascii="Arial" w:hAnsi="Arial" w:cs="Arial"/>
                <w:sz w:val="24"/>
                <w:szCs w:val="24"/>
              </w:rPr>
              <w:t xml:space="preserve"> ability to accept support so arranged </w:t>
            </w:r>
            <w:r w:rsidR="00A335EC" w:rsidRPr="00810585">
              <w:rPr>
                <w:rFonts w:ascii="Arial" w:hAnsi="Arial" w:cs="Arial"/>
                <w:sz w:val="24"/>
                <w:szCs w:val="24"/>
              </w:rPr>
              <w:t>a safeguarding strategy meeting in May 2013. It was agreed that workers would try to arrange a mental health assessment for mum and mental capacity assessments for Edward and his younger sister, and that the agencies would work together to try to resolve the housing issues.</w:t>
            </w:r>
          </w:p>
          <w:p w:rsidR="00A335EC" w:rsidRPr="00810585" w:rsidRDefault="00A335EC" w:rsidP="00882DE8">
            <w:pPr>
              <w:pStyle w:val="ListParagraph"/>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10</w:t>
            </w:r>
          </w:p>
        </w:tc>
        <w:tc>
          <w:tcPr>
            <w:tcW w:w="8000" w:type="dxa"/>
          </w:tcPr>
          <w:p w:rsidR="00A335EC" w:rsidRPr="00810585" w:rsidRDefault="00A335EC" w:rsidP="00BD6C4A">
            <w:pPr>
              <w:rPr>
                <w:rFonts w:ascii="Arial" w:hAnsi="Arial" w:cs="Arial"/>
                <w:sz w:val="24"/>
                <w:szCs w:val="24"/>
              </w:rPr>
            </w:pPr>
            <w:r w:rsidRPr="00810585">
              <w:rPr>
                <w:rFonts w:ascii="Arial" w:hAnsi="Arial" w:cs="Arial"/>
                <w:sz w:val="24"/>
                <w:szCs w:val="24"/>
              </w:rPr>
              <w:t>The mental health assessment of Edward’s mum, which took place at the family home, concluded that “there was no evidence of mental illness</w:t>
            </w:r>
            <w:r w:rsidR="000E57C6" w:rsidRPr="00810585">
              <w:rPr>
                <w:rFonts w:ascii="Arial" w:hAnsi="Arial" w:cs="Arial"/>
                <w:sz w:val="24"/>
                <w:szCs w:val="24"/>
              </w:rPr>
              <w:t xml:space="preserve"> or of</w:t>
            </w:r>
            <w:r w:rsidRPr="00810585">
              <w:rPr>
                <w:rFonts w:ascii="Arial" w:hAnsi="Arial" w:cs="Arial"/>
                <w:sz w:val="24"/>
                <w:szCs w:val="24"/>
              </w:rPr>
              <w:t xml:space="preserve"> low mood or psychosis”. </w:t>
            </w:r>
          </w:p>
          <w:p w:rsidR="00A335EC" w:rsidRPr="00810585" w:rsidRDefault="00A335EC" w:rsidP="00BD6C4A">
            <w:pPr>
              <w:rPr>
                <w:rFonts w:ascii="Arial" w:hAnsi="Arial" w:cs="Arial"/>
                <w:sz w:val="24"/>
                <w:szCs w:val="24"/>
              </w:rPr>
            </w:pPr>
            <w:r w:rsidRPr="00810585">
              <w:rPr>
                <w:rFonts w:ascii="Arial" w:hAnsi="Arial" w:cs="Arial"/>
                <w:sz w:val="24"/>
                <w:szCs w:val="24"/>
              </w:rPr>
              <w:t xml:space="preserve">It also stated that “Edward’s mum has capacity to make decisions for herself </w:t>
            </w:r>
            <w:r w:rsidRPr="00810585">
              <w:rPr>
                <w:rFonts w:ascii="Arial" w:hAnsi="Arial" w:cs="Arial"/>
                <w:b/>
                <w:i/>
                <w:sz w:val="24"/>
                <w:szCs w:val="24"/>
              </w:rPr>
              <w:t>and on behalf of her three children</w:t>
            </w:r>
            <w:r w:rsidRPr="00810585">
              <w:rPr>
                <w:rFonts w:ascii="Arial" w:hAnsi="Arial" w:cs="Arial"/>
                <w:sz w:val="24"/>
                <w:szCs w:val="24"/>
              </w:rPr>
              <w:t xml:space="preserve">”. This latter comment is significant in that her three </w:t>
            </w:r>
            <w:r w:rsidR="00157F21">
              <w:rPr>
                <w:rFonts w:ascii="Arial" w:hAnsi="Arial" w:cs="Arial"/>
                <w:sz w:val="24"/>
                <w:szCs w:val="24"/>
              </w:rPr>
              <w:t>“</w:t>
            </w:r>
            <w:r w:rsidRPr="00810585">
              <w:rPr>
                <w:rFonts w:ascii="Arial" w:hAnsi="Arial" w:cs="Arial"/>
                <w:sz w:val="24"/>
                <w:szCs w:val="24"/>
              </w:rPr>
              <w:t>children</w:t>
            </w:r>
            <w:r w:rsidR="00157F21">
              <w:rPr>
                <w:rFonts w:ascii="Arial" w:hAnsi="Arial" w:cs="Arial"/>
                <w:sz w:val="24"/>
                <w:szCs w:val="24"/>
              </w:rPr>
              <w:t>”</w:t>
            </w:r>
            <w:r w:rsidRPr="00810585">
              <w:rPr>
                <w:rFonts w:ascii="Arial" w:hAnsi="Arial" w:cs="Arial"/>
                <w:sz w:val="24"/>
                <w:szCs w:val="24"/>
              </w:rPr>
              <w:t xml:space="preserve"> were all adults.</w:t>
            </w:r>
            <w:r w:rsidR="00F41FB8">
              <w:rPr>
                <w:rStyle w:val="FootnoteReference"/>
                <w:rFonts w:ascii="Arial" w:hAnsi="Arial" w:cs="Arial"/>
                <w:sz w:val="24"/>
                <w:szCs w:val="24"/>
              </w:rPr>
              <w:footnoteReference w:id="6"/>
            </w:r>
          </w:p>
          <w:p w:rsidR="00A335EC" w:rsidRPr="00810585" w:rsidRDefault="00A335EC" w:rsidP="00BD6C4A">
            <w:pPr>
              <w:rPr>
                <w:rFonts w:ascii="Arial" w:hAnsi="Arial" w:cs="Arial"/>
                <w:sz w:val="24"/>
                <w:szCs w:val="24"/>
              </w:rPr>
            </w:pPr>
            <w:r w:rsidRPr="00810585">
              <w:rPr>
                <w:rFonts w:ascii="Arial" w:hAnsi="Arial" w:cs="Arial"/>
                <w:sz w:val="24"/>
                <w:szCs w:val="24"/>
              </w:rPr>
              <w:t>There were no concerns noted about the care of Edward.</w:t>
            </w:r>
          </w:p>
          <w:p w:rsidR="00A335EC" w:rsidRPr="00810585" w:rsidRDefault="00A335EC" w:rsidP="0092152B">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11</w:t>
            </w:r>
          </w:p>
        </w:tc>
        <w:tc>
          <w:tcPr>
            <w:tcW w:w="8000" w:type="dxa"/>
          </w:tcPr>
          <w:p w:rsidR="00A335EC" w:rsidRPr="00810585" w:rsidRDefault="00A335EC" w:rsidP="000E57C6">
            <w:pPr>
              <w:rPr>
                <w:rFonts w:ascii="Arial" w:hAnsi="Arial" w:cs="Arial"/>
                <w:sz w:val="24"/>
                <w:szCs w:val="24"/>
              </w:rPr>
            </w:pPr>
            <w:r w:rsidRPr="00810585">
              <w:rPr>
                <w:rFonts w:ascii="Arial" w:hAnsi="Arial" w:cs="Arial"/>
                <w:sz w:val="24"/>
                <w:szCs w:val="24"/>
              </w:rPr>
              <w:t xml:space="preserve">Over the next few months the focus of agency work moved to enabling a request from mum for a house move. This proved difficult as </w:t>
            </w:r>
            <w:r w:rsidR="00660925" w:rsidRPr="00810585">
              <w:rPr>
                <w:rFonts w:ascii="Arial" w:hAnsi="Arial" w:cs="Arial"/>
                <w:sz w:val="24"/>
                <w:szCs w:val="24"/>
              </w:rPr>
              <w:t>Edward’s mum didn’t agree with some recommendations about adaptations to assist with bathing.</w:t>
            </w:r>
            <w:r w:rsidRPr="00810585">
              <w:rPr>
                <w:rFonts w:ascii="Arial" w:hAnsi="Arial" w:cs="Arial"/>
                <w:sz w:val="24"/>
                <w:szCs w:val="24"/>
              </w:rPr>
              <w:t xml:space="preserve"> </w:t>
            </w:r>
          </w:p>
          <w:p w:rsidR="000E57C6" w:rsidRPr="00810585" w:rsidRDefault="000E57C6" w:rsidP="000E57C6">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12</w:t>
            </w:r>
          </w:p>
        </w:tc>
        <w:tc>
          <w:tcPr>
            <w:tcW w:w="8000" w:type="dxa"/>
          </w:tcPr>
          <w:p w:rsidR="00A335EC" w:rsidRPr="00810585" w:rsidRDefault="00A335EC" w:rsidP="00C75AEF">
            <w:pPr>
              <w:rPr>
                <w:rFonts w:ascii="Arial" w:hAnsi="Arial" w:cs="Arial"/>
                <w:sz w:val="24"/>
                <w:szCs w:val="24"/>
              </w:rPr>
            </w:pPr>
            <w:r w:rsidRPr="00810585">
              <w:rPr>
                <w:rFonts w:ascii="Arial" w:hAnsi="Arial" w:cs="Arial"/>
                <w:sz w:val="24"/>
                <w:szCs w:val="24"/>
              </w:rPr>
              <w:t>However, the move was achieved in August 2013. A mental capacity assessment for Edward was agreed and he was deemed not to have capacity to make an informed decision about the move</w:t>
            </w:r>
            <w:r w:rsidR="00170841">
              <w:rPr>
                <w:rFonts w:ascii="Arial" w:hAnsi="Arial" w:cs="Arial"/>
                <w:sz w:val="24"/>
                <w:szCs w:val="24"/>
              </w:rPr>
              <w:t>,</w:t>
            </w:r>
            <w:r w:rsidRPr="00810585">
              <w:rPr>
                <w:rFonts w:ascii="Arial" w:hAnsi="Arial" w:cs="Arial"/>
                <w:sz w:val="24"/>
                <w:szCs w:val="24"/>
              </w:rPr>
              <w:t xml:space="preserve"> and medication and other supports were put in place to enable the move.</w:t>
            </w:r>
          </w:p>
          <w:p w:rsidR="00A335EC" w:rsidRPr="00810585" w:rsidRDefault="00A335EC" w:rsidP="00F55F82">
            <w:pPr>
              <w:rPr>
                <w:rFonts w:ascii="Arial" w:hAnsi="Arial" w:cs="Arial"/>
                <w:sz w:val="24"/>
                <w:szCs w:val="24"/>
              </w:rPr>
            </w:pPr>
          </w:p>
        </w:tc>
      </w:tr>
      <w:tr w:rsidR="00A335EC" w:rsidRPr="00681267" w:rsidTr="00A335EC">
        <w:tc>
          <w:tcPr>
            <w:tcW w:w="1242" w:type="dxa"/>
          </w:tcPr>
          <w:p w:rsidR="00A335EC" w:rsidRPr="00681267" w:rsidRDefault="00A335EC" w:rsidP="00EF347C">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13</w:t>
            </w:r>
          </w:p>
        </w:tc>
        <w:tc>
          <w:tcPr>
            <w:tcW w:w="8000" w:type="dxa"/>
          </w:tcPr>
          <w:p w:rsidR="000E57C6" w:rsidRPr="00810585" w:rsidRDefault="000E57C6" w:rsidP="000E57C6">
            <w:pPr>
              <w:rPr>
                <w:rFonts w:ascii="Arial" w:hAnsi="Arial" w:cs="Arial"/>
                <w:sz w:val="24"/>
                <w:szCs w:val="24"/>
              </w:rPr>
            </w:pPr>
            <w:r w:rsidRPr="00810585">
              <w:rPr>
                <w:rFonts w:ascii="Arial" w:hAnsi="Arial" w:cs="Arial"/>
                <w:sz w:val="24"/>
                <w:szCs w:val="24"/>
              </w:rPr>
              <w:t>Towards the end of November 2013 Edward began to experience some physical health problems that the GP believed needed hospital investigations. Edward had been having Annual Health checks with his GP as is good practice for an adult with a learning disability, but he was not always able to cooperate with some procedures such as the taking of blood samples. The suggestion of hospital investigations was initially resisted by his mum and the GP continued to monitor him by surgery and home visits.</w:t>
            </w:r>
          </w:p>
          <w:p w:rsidR="00A335EC" w:rsidRPr="00810585" w:rsidRDefault="00A335EC" w:rsidP="000E57C6">
            <w:pPr>
              <w:rPr>
                <w:rFonts w:ascii="Arial" w:hAnsi="Arial" w:cs="Arial"/>
                <w:sz w:val="24"/>
                <w:szCs w:val="24"/>
              </w:rPr>
            </w:pPr>
          </w:p>
        </w:tc>
      </w:tr>
      <w:tr w:rsidR="00A335EC" w:rsidRPr="00681267" w:rsidTr="00A335EC">
        <w:tc>
          <w:tcPr>
            <w:tcW w:w="1242" w:type="dxa"/>
          </w:tcPr>
          <w:p w:rsidR="00A335EC" w:rsidRPr="00681267" w:rsidRDefault="00A335EC" w:rsidP="000E57C6">
            <w:pPr>
              <w:rPr>
                <w:rFonts w:ascii="Arial" w:hAnsi="Arial" w:cs="Arial"/>
                <w:sz w:val="24"/>
                <w:szCs w:val="24"/>
              </w:rPr>
            </w:pPr>
            <w:r w:rsidRPr="00681267">
              <w:rPr>
                <w:rFonts w:ascii="Arial" w:hAnsi="Arial" w:cs="Arial"/>
                <w:sz w:val="24"/>
                <w:szCs w:val="24"/>
              </w:rPr>
              <w:t>3.</w:t>
            </w:r>
            <w:r w:rsidR="00EF347C">
              <w:rPr>
                <w:rFonts w:ascii="Arial" w:hAnsi="Arial" w:cs="Arial"/>
                <w:sz w:val="24"/>
                <w:szCs w:val="24"/>
              </w:rPr>
              <w:t>1</w:t>
            </w:r>
            <w:r w:rsidR="000E57C6">
              <w:rPr>
                <w:rFonts w:ascii="Arial" w:hAnsi="Arial" w:cs="Arial"/>
                <w:sz w:val="24"/>
                <w:szCs w:val="24"/>
              </w:rPr>
              <w:t>4</w:t>
            </w:r>
          </w:p>
        </w:tc>
        <w:tc>
          <w:tcPr>
            <w:tcW w:w="8000" w:type="dxa"/>
          </w:tcPr>
          <w:p w:rsidR="00A335EC" w:rsidRPr="00810585" w:rsidRDefault="00A335EC" w:rsidP="008D2306">
            <w:pPr>
              <w:rPr>
                <w:rFonts w:ascii="Arial" w:hAnsi="Arial" w:cs="Arial"/>
                <w:sz w:val="24"/>
                <w:szCs w:val="24"/>
              </w:rPr>
            </w:pPr>
            <w:r w:rsidRPr="00810585">
              <w:rPr>
                <w:rFonts w:ascii="Arial" w:hAnsi="Arial" w:cs="Arial"/>
                <w:sz w:val="24"/>
                <w:szCs w:val="24"/>
              </w:rPr>
              <w:t>In spite of the generally successful house move</w:t>
            </w:r>
            <w:r w:rsidR="00170841">
              <w:rPr>
                <w:rFonts w:ascii="Arial" w:hAnsi="Arial" w:cs="Arial"/>
                <w:sz w:val="24"/>
                <w:szCs w:val="24"/>
              </w:rPr>
              <w:t>,</w:t>
            </w:r>
            <w:r w:rsidRPr="00810585">
              <w:rPr>
                <w:rFonts w:ascii="Arial" w:hAnsi="Arial" w:cs="Arial"/>
                <w:sz w:val="24"/>
                <w:szCs w:val="24"/>
              </w:rPr>
              <w:t xml:space="preserve"> the social worker became increasingly concerned about the family as issues additional to the housing were not being </w:t>
            </w:r>
            <w:r w:rsidR="00220261" w:rsidRPr="00810585">
              <w:rPr>
                <w:rFonts w:ascii="Arial" w:hAnsi="Arial" w:cs="Arial"/>
                <w:sz w:val="24"/>
                <w:szCs w:val="24"/>
              </w:rPr>
              <w:t>resolved</w:t>
            </w:r>
            <w:r w:rsidR="000E57C6" w:rsidRPr="00810585">
              <w:rPr>
                <w:rFonts w:ascii="Arial" w:hAnsi="Arial" w:cs="Arial"/>
                <w:sz w:val="24"/>
                <w:szCs w:val="24"/>
              </w:rPr>
              <w:t>.</w:t>
            </w:r>
            <w:r w:rsidRPr="00810585">
              <w:rPr>
                <w:rFonts w:ascii="Arial" w:hAnsi="Arial" w:cs="Arial"/>
                <w:sz w:val="24"/>
                <w:szCs w:val="24"/>
              </w:rPr>
              <w:t xml:space="preserve"> Legal advice was requested from </w:t>
            </w:r>
            <w:r w:rsidRPr="00810585">
              <w:rPr>
                <w:rFonts w:ascii="Arial" w:hAnsi="Arial" w:cs="Arial"/>
                <w:sz w:val="24"/>
                <w:szCs w:val="24"/>
              </w:rPr>
              <w:lastRenderedPageBreak/>
              <w:t>Liverpool CC Legal and Care Management Panel in February 2014. There were concerns again about the adult siblings and their capacity to make different decisions from those that their mum seemed to be making for them</w:t>
            </w:r>
            <w:r w:rsidR="00220261" w:rsidRPr="00810585">
              <w:rPr>
                <w:rFonts w:ascii="Arial" w:hAnsi="Arial" w:cs="Arial"/>
                <w:sz w:val="24"/>
                <w:szCs w:val="24"/>
              </w:rPr>
              <w:t>. Other concerns were around the</w:t>
            </w:r>
            <w:r w:rsidRPr="00810585">
              <w:rPr>
                <w:rFonts w:ascii="Arial" w:hAnsi="Arial" w:cs="Arial"/>
                <w:sz w:val="24"/>
                <w:szCs w:val="24"/>
              </w:rPr>
              <w:t xml:space="preserve"> use of family finances</w:t>
            </w:r>
            <w:r w:rsidR="00220261" w:rsidRPr="00810585">
              <w:rPr>
                <w:rFonts w:ascii="Arial" w:hAnsi="Arial" w:cs="Arial"/>
                <w:sz w:val="24"/>
                <w:szCs w:val="24"/>
              </w:rPr>
              <w:t xml:space="preserve"> and </w:t>
            </w:r>
            <w:r w:rsidRPr="00810585">
              <w:rPr>
                <w:rFonts w:ascii="Arial" w:hAnsi="Arial" w:cs="Arial"/>
                <w:sz w:val="24"/>
                <w:szCs w:val="24"/>
              </w:rPr>
              <w:t>lack of essential comforts such as heating and hot water</w:t>
            </w:r>
            <w:r w:rsidR="00220261" w:rsidRPr="00810585">
              <w:rPr>
                <w:rFonts w:ascii="Arial" w:hAnsi="Arial" w:cs="Arial"/>
                <w:sz w:val="24"/>
                <w:szCs w:val="24"/>
              </w:rPr>
              <w:t>. The Panel</w:t>
            </w:r>
            <w:r w:rsidRPr="00810585">
              <w:rPr>
                <w:rFonts w:ascii="Arial" w:hAnsi="Arial" w:cs="Arial"/>
                <w:sz w:val="24"/>
                <w:szCs w:val="24"/>
              </w:rPr>
              <w:t xml:space="preserve"> identified that more work was needed </w:t>
            </w:r>
            <w:r w:rsidR="00220261" w:rsidRPr="00810585">
              <w:rPr>
                <w:rFonts w:ascii="Arial" w:hAnsi="Arial" w:cs="Arial"/>
                <w:sz w:val="24"/>
                <w:szCs w:val="24"/>
              </w:rPr>
              <w:t xml:space="preserve">by the social worker </w:t>
            </w:r>
            <w:r w:rsidRPr="00810585">
              <w:rPr>
                <w:rFonts w:ascii="Arial" w:hAnsi="Arial" w:cs="Arial"/>
                <w:sz w:val="24"/>
                <w:szCs w:val="24"/>
              </w:rPr>
              <w:t>before any referral could be made to the Court of Protection.</w:t>
            </w:r>
          </w:p>
          <w:p w:rsidR="00A335EC" w:rsidRPr="00810585" w:rsidRDefault="00A335EC" w:rsidP="00CA14E1">
            <w:pPr>
              <w:rPr>
                <w:rFonts w:ascii="Arial" w:hAnsi="Arial" w:cs="Arial"/>
                <w:sz w:val="24"/>
                <w:szCs w:val="24"/>
              </w:rPr>
            </w:pPr>
          </w:p>
        </w:tc>
      </w:tr>
      <w:tr w:rsidR="00A335EC" w:rsidRPr="00681267" w:rsidTr="00A335EC">
        <w:tc>
          <w:tcPr>
            <w:tcW w:w="1242" w:type="dxa"/>
          </w:tcPr>
          <w:p w:rsidR="00A335EC" w:rsidRPr="00681267" w:rsidRDefault="00A335EC" w:rsidP="000E57C6">
            <w:pPr>
              <w:rPr>
                <w:rFonts w:ascii="Arial" w:hAnsi="Arial" w:cs="Arial"/>
                <w:sz w:val="24"/>
                <w:szCs w:val="24"/>
              </w:rPr>
            </w:pPr>
            <w:r w:rsidRPr="00681267">
              <w:rPr>
                <w:rFonts w:ascii="Arial" w:hAnsi="Arial" w:cs="Arial"/>
                <w:sz w:val="24"/>
                <w:szCs w:val="24"/>
              </w:rPr>
              <w:lastRenderedPageBreak/>
              <w:t>3.</w:t>
            </w:r>
            <w:r w:rsidR="00220261">
              <w:rPr>
                <w:rFonts w:ascii="Arial" w:hAnsi="Arial" w:cs="Arial"/>
                <w:sz w:val="24"/>
                <w:szCs w:val="24"/>
              </w:rPr>
              <w:t>1</w:t>
            </w:r>
            <w:r w:rsidR="000E57C6">
              <w:rPr>
                <w:rFonts w:ascii="Arial" w:hAnsi="Arial" w:cs="Arial"/>
                <w:sz w:val="24"/>
                <w:szCs w:val="24"/>
              </w:rPr>
              <w:t>5</w:t>
            </w:r>
          </w:p>
        </w:tc>
        <w:tc>
          <w:tcPr>
            <w:tcW w:w="8000" w:type="dxa"/>
          </w:tcPr>
          <w:p w:rsidR="00A335EC" w:rsidRPr="00810585" w:rsidRDefault="00A335EC" w:rsidP="009D7AF4">
            <w:pPr>
              <w:rPr>
                <w:rFonts w:ascii="Arial" w:hAnsi="Arial" w:cs="Arial"/>
                <w:sz w:val="24"/>
                <w:szCs w:val="24"/>
              </w:rPr>
            </w:pPr>
            <w:r w:rsidRPr="00810585">
              <w:rPr>
                <w:rFonts w:ascii="Arial" w:hAnsi="Arial" w:cs="Arial"/>
                <w:sz w:val="24"/>
                <w:szCs w:val="24"/>
              </w:rPr>
              <w:t>However, in spite of</w:t>
            </w:r>
            <w:r w:rsidR="00170841">
              <w:rPr>
                <w:rFonts w:ascii="Arial" w:hAnsi="Arial" w:cs="Arial"/>
                <w:sz w:val="24"/>
                <w:szCs w:val="24"/>
              </w:rPr>
              <w:t xml:space="preserve"> further</w:t>
            </w:r>
            <w:r w:rsidRPr="00810585">
              <w:rPr>
                <w:rFonts w:ascii="Arial" w:hAnsi="Arial" w:cs="Arial"/>
                <w:sz w:val="24"/>
                <w:szCs w:val="24"/>
              </w:rPr>
              <w:t xml:space="preserve"> visits by the social worker and her manager</w:t>
            </w:r>
            <w:r w:rsidR="00170841">
              <w:rPr>
                <w:rFonts w:ascii="Arial" w:hAnsi="Arial" w:cs="Arial"/>
                <w:sz w:val="24"/>
                <w:szCs w:val="24"/>
              </w:rPr>
              <w:t>,</w:t>
            </w:r>
            <w:r w:rsidR="00220261" w:rsidRPr="00810585">
              <w:rPr>
                <w:rFonts w:ascii="Arial" w:hAnsi="Arial" w:cs="Arial"/>
                <w:sz w:val="24"/>
                <w:szCs w:val="24"/>
              </w:rPr>
              <w:t xml:space="preserve"> interventions were not accepted</w:t>
            </w:r>
            <w:r w:rsidR="00BE786A" w:rsidRPr="00810585">
              <w:rPr>
                <w:rFonts w:ascii="Arial" w:hAnsi="Arial" w:cs="Arial"/>
                <w:sz w:val="24"/>
                <w:szCs w:val="24"/>
              </w:rPr>
              <w:t>, and the focus moved again in September 2014 to concerns over Edward’s health</w:t>
            </w:r>
            <w:r w:rsidR="00220261" w:rsidRPr="00810585">
              <w:rPr>
                <w:rFonts w:ascii="Arial" w:hAnsi="Arial" w:cs="Arial"/>
                <w:sz w:val="24"/>
                <w:szCs w:val="24"/>
              </w:rPr>
              <w:t>.</w:t>
            </w:r>
          </w:p>
          <w:p w:rsidR="00A335EC" w:rsidRPr="00810585" w:rsidRDefault="00A335EC" w:rsidP="009D7AF4">
            <w:pPr>
              <w:rPr>
                <w:rFonts w:ascii="Arial" w:hAnsi="Arial" w:cs="Arial"/>
                <w:sz w:val="24"/>
                <w:szCs w:val="24"/>
              </w:rPr>
            </w:pPr>
          </w:p>
        </w:tc>
      </w:tr>
      <w:tr w:rsidR="00A335EC" w:rsidRPr="00681267" w:rsidTr="00A335EC">
        <w:tc>
          <w:tcPr>
            <w:tcW w:w="1242" w:type="dxa"/>
          </w:tcPr>
          <w:p w:rsidR="00A335EC" w:rsidRPr="00681267" w:rsidRDefault="00A335EC" w:rsidP="00BE786A">
            <w:pPr>
              <w:rPr>
                <w:rFonts w:ascii="Arial" w:hAnsi="Arial" w:cs="Arial"/>
                <w:sz w:val="24"/>
                <w:szCs w:val="24"/>
              </w:rPr>
            </w:pPr>
            <w:r w:rsidRPr="00681267">
              <w:rPr>
                <w:rFonts w:ascii="Arial" w:hAnsi="Arial" w:cs="Arial"/>
                <w:sz w:val="24"/>
                <w:szCs w:val="24"/>
              </w:rPr>
              <w:t>3.</w:t>
            </w:r>
            <w:r w:rsidR="00220261">
              <w:rPr>
                <w:rFonts w:ascii="Arial" w:hAnsi="Arial" w:cs="Arial"/>
                <w:sz w:val="24"/>
                <w:szCs w:val="24"/>
              </w:rPr>
              <w:t>1</w:t>
            </w:r>
            <w:r w:rsidR="00BE786A">
              <w:rPr>
                <w:rFonts w:ascii="Arial" w:hAnsi="Arial" w:cs="Arial"/>
                <w:sz w:val="24"/>
                <w:szCs w:val="24"/>
              </w:rPr>
              <w:t>6</w:t>
            </w:r>
          </w:p>
        </w:tc>
        <w:tc>
          <w:tcPr>
            <w:tcW w:w="8000" w:type="dxa"/>
          </w:tcPr>
          <w:p w:rsidR="00A335EC" w:rsidRPr="00810585" w:rsidRDefault="00A335EC" w:rsidP="00B232E2">
            <w:pPr>
              <w:rPr>
                <w:rFonts w:ascii="Arial" w:hAnsi="Arial" w:cs="Arial"/>
                <w:sz w:val="24"/>
                <w:szCs w:val="24"/>
              </w:rPr>
            </w:pPr>
            <w:r w:rsidRPr="00810585">
              <w:rPr>
                <w:rFonts w:ascii="Arial" w:hAnsi="Arial" w:cs="Arial"/>
                <w:sz w:val="24"/>
                <w:szCs w:val="24"/>
              </w:rPr>
              <w:t>The GP, following discussion with the social worker, made a referral to the Mersey Care Learning Disability Team to seek their support to enable Edward to attend hospital for further investigations.</w:t>
            </w:r>
          </w:p>
          <w:p w:rsidR="00A335EC" w:rsidRPr="00810585" w:rsidRDefault="00A335EC" w:rsidP="00B232E2">
            <w:pPr>
              <w:rPr>
                <w:rFonts w:ascii="Arial" w:hAnsi="Arial" w:cs="Arial"/>
                <w:sz w:val="24"/>
                <w:szCs w:val="24"/>
              </w:rPr>
            </w:pPr>
          </w:p>
        </w:tc>
      </w:tr>
      <w:tr w:rsidR="00A335EC" w:rsidRPr="00681267" w:rsidTr="00A335EC">
        <w:tc>
          <w:tcPr>
            <w:tcW w:w="1242" w:type="dxa"/>
          </w:tcPr>
          <w:p w:rsidR="00A335EC" w:rsidRPr="00681267" w:rsidRDefault="00A335EC" w:rsidP="00BE786A">
            <w:pPr>
              <w:rPr>
                <w:rFonts w:ascii="Arial" w:hAnsi="Arial" w:cs="Arial"/>
                <w:sz w:val="24"/>
                <w:szCs w:val="24"/>
              </w:rPr>
            </w:pPr>
            <w:r w:rsidRPr="00681267">
              <w:rPr>
                <w:rFonts w:ascii="Arial" w:hAnsi="Arial" w:cs="Arial"/>
                <w:sz w:val="24"/>
                <w:szCs w:val="24"/>
              </w:rPr>
              <w:t>3.</w:t>
            </w:r>
            <w:r w:rsidR="00220261">
              <w:rPr>
                <w:rFonts w:ascii="Arial" w:hAnsi="Arial" w:cs="Arial"/>
                <w:sz w:val="24"/>
                <w:szCs w:val="24"/>
              </w:rPr>
              <w:t>1</w:t>
            </w:r>
            <w:r w:rsidR="00BE786A">
              <w:rPr>
                <w:rFonts w:ascii="Arial" w:hAnsi="Arial" w:cs="Arial"/>
                <w:sz w:val="24"/>
                <w:szCs w:val="24"/>
              </w:rPr>
              <w:t>7</w:t>
            </w:r>
          </w:p>
        </w:tc>
        <w:tc>
          <w:tcPr>
            <w:tcW w:w="8000" w:type="dxa"/>
          </w:tcPr>
          <w:p w:rsidR="00A335EC" w:rsidRPr="00810585" w:rsidRDefault="00A335EC" w:rsidP="007461C1">
            <w:pPr>
              <w:spacing w:after="200" w:line="276" w:lineRule="auto"/>
              <w:rPr>
                <w:rFonts w:ascii="Arial" w:hAnsi="Arial" w:cs="Arial"/>
                <w:sz w:val="24"/>
                <w:szCs w:val="24"/>
              </w:rPr>
            </w:pPr>
            <w:r w:rsidRPr="00810585">
              <w:rPr>
                <w:rFonts w:ascii="Arial" w:hAnsi="Arial" w:cs="Arial"/>
                <w:sz w:val="24"/>
                <w:szCs w:val="24"/>
              </w:rPr>
              <w:t>There followed a period of frequent communication between the social worker, GP, and allocated specialist learning disability nurse (hereafter referred to as LD nurse) from Mersey Care Community Learning Disability Team. Edward’s mum agreed to</w:t>
            </w:r>
            <w:r w:rsidR="00170841">
              <w:rPr>
                <w:rFonts w:ascii="Arial" w:hAnsi="Arial" w:cs="Arial"/>
                <w:sz w:val="24"/>
                <w:szCs w:val="24"/>
              </w:rPr>
              <w:t xml:space="preserve"> </w:t>
            </w:r>
            <w:r w:rsidR="005D3678">
              <w:rPr>
                <w:rFonts w:ascii="Arial" w:hAnsi="Arial" w:cs="Arial"/>
                <w:sz w:val="24"/>
                <w:szCs w:val="24"/>
              </w:rPr>
              <w:t>her</w:t>
            </w:r>
            <w:r w:rsidRPr="00810585">
              <w:rPr>
                <w:rFonts w:ascii="Arial" w:hAnsi="Arial" w:cs="Arial"/>
                <w:sz w:val="24"/>
                <w:szCs w:val="24"/>
              </w:rPr>
              <w:t xml:space="preserve"> involvement to </w:t>
            </w:r>
            <w:r w:rsidR="00170841">
              <w:rPr>
                <w:rFonts w:ascii="Arial" w:hAnsi="Arial" w:cs="Arial"/>
                <w:sz w:val="24"/>
                <w:szCs w:val="24"/>
              </w:rPr>
              <w:t xml:space="preserve">provide </w:t>
            </w:r>
            <w:r w:rsidRPr="00810585">
              <w:rPr>
                <w:rFonts w:ascii="Arial" w:hAnsi="Arial" w:cs="Arial"/>
                <w:sz w:val="24"/>
                <w:szCs w:val="24"/>
              </w:rPr>
              <w:t>support</w:t>
            </w:r>
            <w:r w:rsidR="00170841">
              <w:rPr>
                <w:rFonts w:ascii="Arial" w:hAnsi="Arial" w:cs="Arial"/>
                <w:sz w:val="24"/>
                <w:szCs w:val="24"/>
              </w:rPr>
              <w:t xml:space="preserve"> for</w:t>
            </w:r>
            <w:r w:rsidRPr="00810585">
              <w:rPr>
                <w:rFonts w:ascii="Arial" w:hAnsi="Arial" w:cs="Arial"/>
                <w:sz w:val="24"/>
                <w:szCs w:val="24"/>
              </w:rPr>
              <w:t xml:space="preserve"> hospital visits for </w:t>
            </w:r>
            <w:r w:rsidR="00BE786A" w:rsidRPr="00810585">
              <w:rPr>
                <w:rFonts w:ascii="Arial" w:hAnsi="Arial" w:cs="Arial"/>
                <w:sz w:val="24"/>
                <w:szCs w:val="24"/>
              </w:rPr>
              <w:t xml:space="preserve">specific </w:t>
            </w:r>
            <w:r w:rsidRPr="00810585">
              <w:rPr>
                <w:rFonts w:ascii="Arial" w:hAnsi="Arial" w:cs="Arial"/>
                <w:sz w:val="24"/>
                <w:szCs w:val="24"/>
              </w:rPr>
              <w:t xml:space="preserve">tests but not to have further interventions as she asserted that she </w:t>
            </w:r>
            <w:r w:rsidRPr="00810585">
              <w:rPr>
                <w:rFonts w:ascii="Arial" w:hAnsi="Arial" w:cs="Arial"/>
                <w:i/>
                <w:sz w:val="24"/>
                <w:szCs w:val="24"/>
              </w:rPr>
              <w:t>“maintains all of her son’s health needs”</w:t>
            </w:r>
            <w:r w:rsidR="007461C1">
              <w:rPr>
                <w:rFonts w:ascii="Arial" w:hAnsi="Arial" w:cs="Arial"/>
                <w:sz w:val="24"/>
                <w:szCs w:val="24"/>
              </w:rPr>
              <w:t>.</w:t>
            </w:r>
          </w:p>
        </w:tc>
      </w:tr>
      <w:tr w:rsidR="00A335EC" w:rsidRPr="00681267" w:rsidTr="00A335EC">
        <w:tc>
          <w:tcPr>
            <w:tcW w:w="1242" w:type="dxa"/>
          </w:tcPr>
          <w:p w:rsidR="00A335EC" w:rsidRPr="00681267" w:rsidRDefault="00A335EC" w:rsidP="00BE786A">
            <w:pPr>
              <w:rPr>
                <w:rFonts w:ascii="Arial" w:hAnsi="Arial" w:cs="Arial"/>
                <w:sz w:val="24"/>
                <w:szCs w:val="24"/>
              </w:rPr>
            </w:pPr>
            <w:r w:rsidRPr="00681267">
              <w:rPr>
                <w:rFonts w:ascii="Arial" w:hAnsi="Arial" w:cs="Arial"/>
                <w:sz w:val="24"/>
                <w:szCs w:val="24"/>
              </w:rPr>
              <w:t>3.</w:t>
            </w:r>
            <w:r w:rsidR="00220261">
              <w:rPr>
                <w:rFonts w:ascii="Arial" w:hAnsi="Arial" w:cs="Arial"/>
                <w:sz w:val="24"/>
                <w:szCs w:val="24"/>
              </w:rPr>
              <w:t>1</w:t>
            </w:r>
            <w:r w:rsidR="00BE786A">
              <w:rPr>
                <w:rFonts w:ascii="Arial" w:hAnsi="Arial" w:cs="Arial"/>
                <w:sz w:val="24"/>
                <w:szCs w:val="24"/>
              </w:rPr>
              <w:t>8</w:t>
            </w:r>
          </w:p>
        </w:tc>
        <w:tc>
          <w:tcPr>
            <w:tcW w:w="8000" w:type="dxa"/>
          </w:tcPr>
          <w:p w:rsidR="00A335EC" w:rsidRPr="00810585" w:rsidRDefault="00DD4CB6" w:rsidP="009E4AF5">
            <w:pPr>
              <w:rPr>
                <w:rFonts w:ascii="Arial" w:hAnsi="Arial" w:cs="Arial"/>
                <w:sz w:val="24"/>
                <w:szCs w:val="24"/>
              </w:rPr>
            </w:pPr>
            <w:r>
              <w:rPr>
                <w:rFonts w:ascii="Arial" w:hAnsi="Arial" w:cs="Arial"/>
                <w:sz w:val="24"/>
                <w:szCs w:val="24"/>
              </w:rPr>
              <w:t>In mid</w:t>
            </w:r>
            <w:r w:rsidR="00A335EC" w:rsidRPr="00810585">
              <w:rPr>
                <w:rFonts w:ascii="Arial" w:hAnsi="Arial" w:cs="Arial"/>
                <w:sz w:val="24"/>
                <w:szCs w:val="24"/>
              </w:rPr>
              <w:t xml:space="preserve"> October 2014 Edward attended Accident and Emergency following a seizure. It is unclear how serious</w:t>
            </w:r>
            <w:r w:rsidR="00170841">
              <w:rPr>
                <w:rFonts w:ascii="Arial" w:hAnsi="Arial" w:cs="Arial"/>
                <w:sz w:val="24"/>
                <w:szCs w:val="24"/>
              </w:rPr>
              <w:t>ly</w:t>
            </w:r>
            <w:r w:rsidR="00A335EC" w:rsidRPr="00810585">
              <w:rPr>
                <w:rFonts w:ascii="Arial" w:hAnsi="Arial" w:cs="Arial"/>
                <w:sz w:val="24"/>
                <w:szCs w:val="24"/>
              </w:rPr>
              <w:t xml:space="preserve"> this was viewed but Edward was not admitted to a ward, and although it seems a follow up was arranged</w:t>
            </w:r>
            <w:r w:rsidR="00170841">
              <w:rPr>
                <w:rFonts w:ascii="Arial" w:hAnsi="Arial" w:cs="Arial"/>
                <w:sz w:val="24"/>
                <w:szCs w:val="24"/>
              </w:rPr>
              <w:t>,</w:t>
            </w:r>
            <w:r w:rsidR="00A335EC" w:rsidRPr="00810585">
              <w:rPr>
                <w:rFonts w:ascii="Arial" w:hAnsi="Arial" w:cs="Arial"/>
                <w:sz w:val="24"/>
                <w:szCs w:val="24"/>
              </w:rPr>
              <w:t xml:space="preserve"> it was not followed through. Edward’s other health difficulties were given priority.</w:t>
            </w:r>
          </w:p>
          <w:p w:rsidR="00A335EC" w:rsidRPr="00810585" w:rsidRDefault="00A335EC" w:rsidP="009E4AF5">
            <w:pPr>
              <w:rPr>
                <w:rFonts w:ascii="Arial" w:hAnsi="Arial" w:cs="Arial"/>
                <w:sz w:val="24"/>
                <w:szCs w:val="24"/>
              </w:rPr>
            </w:pPr>
          </w:p>
        </w:tc>
      </w:tr>
      <w:tr w:rsidR="00A335EC" w:rsidRPr="00681267" w:rsidTr="00A335EC">
        <w:tc>
          <w:tcPr>
            <w:tcW w:w="1242" w:type="dxa"/>
          </w:tcPr>
          <w:p w:rsidR="00A335EC" w:rsidRPr="00681267" w:rsidRDefault="00A335EC" w:rsidP="00BE786A">
            <w:pPr>
              <w:rPr>
                <w:rFonts w:ascii="Arial" w:hAnsi="Arial" w:cs="Arial"/>
                <w:sz w:val="24"/>
                <w:szCs w:val="24"/>
              </w:rPr>
            </w:pPr>
            <w:r w:rsidRPr="00681267">
              <w:rPr>
                <w:rFonts w:ascii="Arial" w:hAnsi="Arial" w:cs="Arial"/>
                <w:sz w:val="24"/>
                <w:szCs w:val="24"/>
              </w:rPr>
              <w:t>3.</w:t>
            </w:r>
            <w:r w:rsidR="00BE786A">
              <w:rPr>
                <w:rFonts w:ascii="Arial" w:hAnsi="Arial" w:cs="Arial"/>
                <w:sz w:val="24"/>
                <w:szCs w:val="24"/>
              </w:rPr>
              <w:t>19</w:t>
            </w:r>
          </w:p>
        </w:tc>
        <w:tc>
          <w:tcPr>
            <w:tcW w:w="8000" w:type="dxa"/>
          </w:tcPr>
          <w:p w:rsidR="00A335EC" w:rsidRPr="00810585" w:rsidRDefault="00BE786A" w:rsidP="00B232E2">
            <w:pPr>
              <w:rPr>
                <w:rFonts w:ascii="Arial" w:hAnsi="Arial" w:cs="Arial"/>
                <w:sz w:val="24"/>
                <w:szCs w:val="24"/>
              </w:rPr>
            </w:pPr>
            <w:r w:rsidRPr="00810585">
              <w:rPr>
                <w:rFonts w:ascii="Arial" w:hAnsi="Arial" w:cs="Arial"/>
                <w:sz w:val="24"/>
                <w:szCs w:val="24"/>
              </w:rPr>
              <w:t>Over the next few months and after</w:t>
            </w:r>
            <w:r w:rsidR="00A335EC" w:rsidRPr="00810585">
              <w:rPr>
                <w:rFonts w:ascii="Arial" w:hAnsi="Arial" w:cs="Arial"/>
                <w:sz w:val="24"/>
                <w:szCs w:val="24"/>
              </w:rPr>
              <w:t xml:space="preserve"> a great deal of planning between Mersey Care, North West Ambulance Service, GP, and Edward’s mum, Edward was supported to attend three diagnostic hospital visits in December 2014. Not all tests were fully achieved because of his inability to cooperate for long periods. However, getting him to hospital was seen as a step forward, particularly as at the start of the hospital appointments the family reported their concerns to the police that this was a ploy to get Edward </w:t>
            </w:r>
            <w:r w:rsidR="00170841">
              <w:rPr>
                <w:rFonts w:ascii="Arial" w:hAnsi="Arial" w:cs="Arial"/>
                <w:sz w:val="24"/>
                <w:szCs w:val="24"/>
              </w:rPr>
              <w:t>“</w:t>
            </w:r>
            <w:r w:rsidR="00A335EC" w:rsidRPr="00810585">
              <w:rPr>
                <w:rFonts w:ascii="Arial" w:hAnsi="Arial" w:cs="Arial"/>
                <w:sz w:val="24"/>
                <w:szCs w:val="24"/>
              </w:rPr>
              <w:t>taken into care</w:t>
            </w:r>
            <w:r w:rsidR="00170841">
              <w:rPr>
                <w:rFonts w:ascii="Arial" w:hAnsi="Arial" w:cs="Arial"/>
                <w:sz w:val="24"/>
                <w:szCs w:val="24"/>
              </w:rPr>
              <w:t>”</w:t>
            </w:r>
            <w:r w:rsidR="00A335EC" w:rsidRPr="00810585">
              <w:rPr>
                <w:rFonts w:ascii="Arial" w:hAnsi="Arial" w:cs="Arial"/>
                <w:sz w:val="24"/>
                <w:szCs w:val="24"/>
              </w:rPr>
              <w:t>.</w:t>
            </w:r>
          </w:p>
          <w:p w:rsidR="00A335EC" w:rsidRPr="00810585" w:rsidRDefault="00A335EC" w:rsidP="00B232E2">
            <w:pPr>
              <w:rPr>
                <w:rFonts w:ascii="Arial" w:hAnsi="Arial" w:cs="Arial"/>
                <w:sz w:val="24"/>
                <w:szCs w:val="24"/>
              </w:rPr>
            </w:pPr>
            <w:r w:rsidRPr="00810585">
              <w:rPr>
                <w:rFonts w:ascii="Arial" w:hAnsi="Arial" w:cs="Arial"/>
                <w:sz w:val="24"/>
                <w:szCs w:val="24"/>
              </w:rPr>
              <w:t xml:space="preserve"> </w:t>
            </w:r>
          </w:p>
        </w:tc>
      </w:tr>
      <w:tr w:rsidR="00A335EC" w:rsidRPr="00681267" w:rsidTr="00A335EC">
        <w:tc>
          <w:tcPr>
            <w:tcW w:w="1242" w:type="dxa"/>
          </w:tcPr>
          <w:p w:rsidR="00A335EC" w:rsidRPr="00681267" w:rsidRDefault="00A335EC" w:rsidP="00BE786A">
            <w:pPr>
              <w:rPr>
                <w:rFonts w:ascii="Arial" w:hAnsi="Arial" w:cs="Arial"/>
                <w:sz w:val="24"/>
                <w:szCs w:val="24"/>
              </w:rPr>
            </w:pPr>
            <w:r w:rsidRPr="00681267">
              <w:rPr>
                <w:rFonts w:ascii="Arial" w:hAnsi="Arial" w:cs="Arial"/>
                <w:sz w:val="24"/>
                <w:szCs w:val="24"/>
              </w:rPr>
              <w:t>3.</w:t>
            </w:r>
            <w:r w:rsidR="00220261">
              <w:rPr>
                <w:rFonts w:ascii="Arial" w:hAnsi="Arial" w:cs="Arial"/>
                <w:sz w:val="24"/>
                <w:szCs w:val="24"/>
              </w:rPr>
              <w:t>2</w:t>
            </w:r>
            <w:r w:rsidR="00BE786A">
              <w:rPr>
                <w:rFonts w:ascii="Arial" w:hAnsi="Arial" w:cs="Arial"/>
                <w:sz w:val="24"/>
                <w:szCs w:val="24"/>
              </w:rPr>
              <w:t>0</w:t>
            </w:r>
          </w:p>
        </w:tc>
        <w:tc>
          <w:tcPr>
            <w:tcW w:w="8000" w:type="dxa"/>
          </w:tcPr>
          <w:p w:rsidR="00A335EC" w:rsidRPr="00810585" w:rsidRDefault="00A335EC" w:rsidP="00B45F5A">
            <w:pPr>
              <w:rPr>
                <w:rFonts w:ascii="Arial" w:hAnsi="Arial" w:cs="Arial"/>
                <w:sz w:val="24"/>
                <w:szCs w:val="24"/>
              </w:rPr>
            </w:pPr>
            <w:r w:rsidRPr="00810585">
              <w:rPr>
                <w:rFonts w:ascii="Arial" w:hAnsi="Arial" w:cs="Arial"/>
                <w:sz w:val="24"/>
                <w:szCs w:val="24"/>
              </w:rPr>
              <w:t>In March 2015 a further appointment was arranged for Edward to attend hospital. However, this was unsuccessful as the usual LD nurse was on long term absence and</w:t>
            </w:r>
            <w:r w:rsidR="00170841">
              <w:rPr>
                <w:rFonts w:ascii="Arial" w:hAnsi="Arial" w:cs="Arial"/>
                <w:sz w:val="24"/>
                <w:szCs w:val="24"/>
              </w:rPr>
              <w:t>,</w:t>
            </w:r>
            <w:r w:rsidRPr="00810585">
              <w:rPr>
                <w:rFonts w:ascii="Arial" w:hAnsi="Arial" w:cs="Arial"/>
                <w:sz w:val="24"/>
                <w:szCs w:val="24"/>
              </w:rPr>
              <w:t xml:space="preserve"> whilst alternative arrangements were put in place</w:t>
            </w:r>
            <w:r w:rsidR="00170841">
              <w:rPr>
                <w:rFonts w:ascii="Arial" w:hAnsi="Arial" w:cs="Arial"/>
                <w:sz w:val="24"/>
                <w:szCs w:val="24"/>
              </w:rPr>
              <w:t>,</w:t>
            </w:r>
            <w:r w:rsidRPr="00810585">
              <w:rPr>
                <w:rFonts w:ascii="Arial" w:hAnsi="Arial" w:cs="Arial"/>
                <w:sz w:val="24"/>
                <w:szCs w:val="24"/>
              </w:rPr>
              <w:t xml:space="preserve"> these didn’t go well and Edward did not attend his appointment</w:t>
            </w:r>
            <w:r w:rsidR="00BE786A" w:rsidRPr="00810585">
              <w:rPr>
                <w:rFonts w:ascii="Arial" w:hAnsi="Arial" w:cs="Arial"/>
                <w:sz w:val="24"/>
                <w:szCs w:val="24"/>
              </w:rPr>
              <w:t xml:space="preserve"> or a rearranged </w:t>
            </w:r>
            <w:r w:rsidRPr="00810585">
              <w:rPr>
                <w:rFonts w:ascii="Arial" w:hAnsi="Arial" w:cs="Arial"/>
                <w:sz w:val="24"/>
                <w:szCs w:val="24"/>
              </w:rPr>
              <w:t>appointment.</w:t>
            </w:r>
          </w:p>
          <w:p w:rsidR="00220261" w:rsidRPr="00810585" w:rsidRDefault="00220261" w:rsidP="00B45F5A">
            <w:pPr>
              <w:rPr>
                <w:rFonts w:ascii="Arial" w:hAnsi="Arial" w:cs="Arial"/>
                <w:sz w:val="24"/>
                <w:szCs w:val="24"/>
              </w:rPr>
            </w:pPr>
          </w:p>
        </w:tc>
      </w:tr>
      <w:tr w:rsidR="00A335EC" w:rsidRPr="00681267" w:rsidTr="00A335EC">
        <w:tc>
          <w:tcPr>
            <w:tcW w:w="1242" w:type="dxa"/>
          </w:tcPr>
          <w:p w:rsidR="00A335EC" w:rsidRPr="00681267" w:rsidRDefault="00A335EC" w:rsidP="00BE786A">
            <w:pPr>
              <w:rPr>
                <w:rFonts w:ascii="Arial" w:hAnsi="Arial" w:cs="Arial"/>
                <w:sz w:val="24"/>
                <w:szCs w:val="24"/>
              </w:rPr>
            </w:pPr>
            <w:r>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1</w:t>
            </w:r>
          </w:p>
        </w:tc>
        <w:tc>
          <w:tcPr>
            <w:tcW w:w="8000" w:type="dxa"/>
          </w:tcPr>
          <w:p w:rsidR="00A335EC" w:rsidRPr="00810585" w:rsidRDefault="00A335EC" w:rsidP="005A1BE2">
            <w:pPr>
              <w:rPr>
                <w:rFonts w:ascii="Arial" w:hAnsi="Arial" w:cs="Arial"/>
                <w:sz w:val="24"/>
                <w:szCs w:val="24"/>
              </w:rPr>
            </w:pPr>
            <w:r w:rsidRPr="00810585">
              <w:rPr>
                <w:rFonts w:ascii="Arial" w:hAnsi="Arial" w:cs="Arial"/>
                <w:sz w:val="24"/>
                <w:szCs w:val="24"/>
              </w:rPr>
              <w:t>In spite of some progress the social worker felt</w:t>
            </w:r>
            <w:r w:rsidR="00170841">
              <w:rPr>
                <w:rFonts w:ascii="Arial" w:hAnsi="Arial" w:cs="Arial"/>
                <w:sz w:val="24"/>
                <w:szCs w:val="24"/>
              </w:rPr>
              <w:t xml:space="preserve"> that</w:t>
            </w:r>
            <w:r w:rsidRPr="00810585">
              <w:rPr>
                <w:rFonts w:ascii="Arial" w:hAnsi="Arial" w:cs="Arial"/>
                <w:sz w:val="24"/>
                <w:szCs w:val="24"/>
              </w:rPr>
              <w:t xml:space="preserve"> realistically it could be difficult to get Edward to appointments without sedation to which Edward’s mum was strongly averse.  There was again some discussion about whether referral to the Court of Protection would be necessary but </w:t>
            </w:r>
            <w:r w:rsidRPr="00810585">
              <w:rPr>
                <w:rFonts w:ascii="Arial" w:hAnsi="Arial" w:cs="Arial"/>
                <w:sz w:val="24"/>
                <w:szCs w:val="24"/>
              </w:rPr>
              <w:lastRenderedPageBreak/>
              <w:t xml:space="preserve">it was agreed following discussions between the GP and consultant that </w:t>
            </w:r>
            <w:r w:rsidR="00A222BF" w:rsidRPr="00810585">
              <w:rPr>
                <w:rFonts w:ascii="Arial" w:hAnsi="Arial" w:cs="Arial"/>
                <w:sz w:val="24"/>
                <w:szCs w:val="24"/>
              </w:rPr>
              <w:t>the GP was best placed to monitor Edward’s health.</w:t>
            </w:r>
          </w:p>
          <w:p w:rsidR="00A335EC" w:rsidRPr="00810585" w:rsidRDefault="00A335EC" w:rsidP="005A1BE2">
            <w:pPr>
              <w:rPr>
                <w:rFonts w:ascii="Arial" w:hAnsi="Arial" w:cs="Arial"/>
                <w:sz w:val="24"/>
                <w:szCs w:val="24"/>
              </w:rPr>
            </w:pPr>
          </w:p>
        </w:tc>
      </w:tr>
      <w:tr w:rsidR="00A335EC" w:rsidRPr="00681267" w:rsidTr="00A335EC">
        <w:tc>
          <w:tcPr>
            <w:tcW w:w="1242" w:type="dxa"/>
          </w:tcPr>
          <w:p w:rsidR="00A335EC" w:rsidRPr="00681267" w:rsidRDefault="00A335EC" w:rsidP="00BE786A">
            <w:pPr>
              <w:rPr>
                <w:rFonts w:ascii="Arial" w:hAnsi="Arial" w:cs="Arial"/>
                <w:sz w:val="24"/>
                <w:szCs w:val="24"/>
              </w:rPr>
            </w:pPr>
            <w:r>
              <w:rPr>
                <w:rFonts w:ascii="Arial" w:hAnsi="Arial" w:cs="Arial"/>
                <w:sz w:val="24"/>
                <w:szCs w:val="24"/>
              </w:rPr>
              <w:lastRenderedPageBreak/>
              <w:t>3.</w:t>
            </w:r>
            <w:r w:rsidR="00A222BF">
              <w:rPr>
                <w:rFonts w:ascii="Arial" w:hAnsi="Arial" w:cs="Arial"/>
                <w:sz w:val="24"/>
                <w:szCs w:val="24"/>
              </w:rPr>
              <w:t>2</w:t>
            </w:r>
            <w:r w:rsidR="00BE786A">
              <w:rPr>
                <w:rFonts w:ascii="Arial" w:hAnsi="Arial" w:cs="Arial"/>
                <w:sz w:val="24"/>
                <w:szCs w:val="24"/>
              </w:rPr>
              <w:t>2</w:t>
            </w:r>
          </w:p>
        </w:tc>
        <w:tc>
          <w:tcPr>
            <w:tcW w:w="8000" w:type="dxa"/>
          </w:tcPr>
          <w:p w:rsidR="00A335EC" w:rsidRPr="00810585" w:rsidRDefault="00A335EC" w:rsidP="005A1BE2">
            <w:pPr>
              <w:rPr>
                <w:rFonts w:ascii="Arial" w:hAnsi="Arial" w:cs="Arial"/>
                <w:sz w:val="24"/>
                <w:szCs w:val="24"/>
              </w:rPr>
            </w:pPr>
            <w:r w:rsidRPr="00810585">
              <w:rPr>
                <w:rFonts w:ascii="Arial" w:hAnsi="Arial" w:cs="Arial"/>
                <w:sz w:val="24"/>
                <w:szCs w:val="24"/>
              </w:rPr>
              <w:t>As the role of the LD nurse had been to facilitate the hospital visits</w:t>
            </w:r>
            <w:r w:rsidR="00170841">
              <w:rPr>
                <w:rFonts w:ascii="Arial" w:hAnsi="Arial" w:cs="Arial"/>
                <w:sz w:val="24"/>
                <w:szCs w:val="24"/>
              </w:rPr>
              <w:t>,</w:t>
            </w:r>
            <w:r w:rsidRPr="00810585">
              <w:rPr>
                <w:rFonts w:ascii="Arial" w:hAnsi="Arial" w:cs="Arial"/>
                <w:sz w:val="24"/>
                <w:szCs w:val="24"/>
              </w:rPr>
              <w:t xml:space="preserve"> she withdrew as she no longer had a role with the family. The GP continued to visit and trying to build on the success in getting Edward to hospital, encouraged mum to get him out of the house</w:t>
            </w:r>
            <w:r w:rsidR="00170841">
              <w:rPr>
                <w:rFonts w:ascii="Arial" w:hAnsi="Arial" w:cs="Arial"/>
                <w:sz w:val="24"/>
                <w:szCs w:val="24"/>
              </w:rPr>
              <w:t>,</w:t>
            </w:r>
            <w:r w:rsidRPr="00810585">
              <w:rPr>
                <w:rFonts w:ascii="Arial" w:hAnsi="Arial" w:cs="Arial"/>
                <w:sz w:val="24"/>
                <w:szCs w:val="24"/>
              </w:rPr>
              <w:t xml:space="preserve"> and gave information about a </w:t>
            </w:r>
            <w:r w:rsidR="00170841">
              <w:rPr>
                <w:rFonts w:ascii="Arial" w:hAnsi="Arial" w:cs="Arial"/>
                <w:sz w:val="24"/>
                <w:szCs w:val="24"/>
              </w:rPr>
              <w:t>“</w:t>
            </w:r>
            <w:r w:rsidRPr="00810585">
              <w:rPr>
                <w:rFonts w:ascii="Arial" w:hAnsi="Arial" w:cs="Arial"/>
                <w:sz w:val="24"/>
                <w:szCs w:val="24"/>
              </w:rPr>
              <w:t>men’s group</w:t>
            </w:r>
            <w:r w:rsidR="00170841">
              <w:rPr>
                <w:rFonts w:ascii="Arial" w:hAnsi="Arial" w:cs="Arial"/>
                <w:sz w:val="24"/>
                <w:szCs w:val="24"/>
              </w:rPr>
              <w:t>”</w:t>
            </w:r>
            <w:r w:rsidRPr="00810585">
              <w:rPr>
                <w:rFonts w:ascii="Arial" w:hAnsi="Arial" w:cs="Arial"/>
                <w:sz w:val="24"/>
                <w:szCs w:val="24"/>
              </w:rPr>
              <w:t xml:space="preserve">, but this was declined. </w:t>
            </w:r>
          </w:p>
          <w:p w:rsidR="00A335EC" w:rsidRPr="00810585" w:rsidRDefault="00A335EC" w:rsidP="005A1BE2">
            <w:pPr>
              <w:rPr>
                <w:rFonts w:ascii="Arial" w:hAnsi="Arial" w:cs="Arial"/>
                <w:sz w:val="24"/>
                <w:szCs w:val="24"/>
              </w:rPr>
            </w:pPr>
          </w:p>
        </w:tc>
      </w:tr>
      <w:tr w:rsidR="00A335EC" w:rsidRPr="00681267" w:rsidTr="00A335EC">
        <w:tc>
          <w:tcPr>
            <w:tcW w:w="1242" w:type="dxa"/>
          </w:tcPr>
          <w:p w:rsidR="00A335EC" w:rsidRPr="00446561" w:rsidRDefault="00A335EC" w:rsidP="00BE786A">
            <w:pPr>
              <w:rPr>
                <w:rFonts w:ascii="Arial" w:hAnsi="Arial" w:cs="Arial"/>
                <w:sz w:val="24"/>
                <w:szCs w:val="24"/>
              </w:rPr>
            </w:pPr>
            <w:r w:rsidRPr="00446561">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3</w:t>
            </w:r>
          </w:p>
        </w:tc>
        <w:tc>
          <w:tcPr>
            <w:tcW w:w="8000" w:type="dxa"/>
          </w:tcPr>
          <w:p w:rsidR="00A335EC" w:rsidRPr="00810585" w:rsidRDefault="00A222BF" w:rsidP="006556FD">
            <w:pPr>
              <w:rPr>
                <w:rFonts w:ascii="Arial" w:hAnsi="Arial" w:cs="Arial"/>
                <w:sz w:val="24"/>
                <w:szCs w:val="24"/>
              </w:rPr>
            </w:pPr>
            <w:r w:rsidRPr="00810585">
              <w:rPr>
                <w:rFonts w:ascii="Arial" w:hAnsi="Arial" w:cs="Arial"/>
                <w:sz w:val="24"/>
                <w:szCs w:val="24"/>
              </w:rPr>
              <w:t>In</w:t>
            </w:r>
            <w:r w:rsidR="00A335EC" w:rsidRPr="00810585">
              <w:rPr>
                <w:rFonts w:ascii="Arial" w:hAnsi="Arial" w:cs="Arial"/>
                <w:sz w:val="24"/>
                <w:szCs w:val="24"/>
              </w:rPr>
              <w:t xml:space="preserve"> July 2015 Edward was taken to Aintree hospital by ambulance. The NW Ambulance service recorded that he had fallen, banged his head, and had a seizure.</w:t>
            </w:r>
          </w:p>
          <w:p w:rsidR="00A335EC" w:rsidRPr="00810585" w:rsidRDefault="00A335EC" w:rsidP="00463BCD">
            <w:pPr>
              <w:rPr>
                <w:rFonts w:ascii="Arial" w:hAnsi="Arial" w:cs="Arial"/>
                <w:sz w:val="24"/>
                <w:szCs w:val="24"/>
              </w:rPr>
            </w:pPr>
          </w:p>
        </w:tc>
      </w:tr>
      <w:tr w:rsidR="00A335EC" w:rsidRPr="00681267" w:rsidTr="00A335EC">
        <w:tc>
          <w:tcPr>
            <w:tcW w:w="1242" w:type="dxa"/>
          </w:tcPr>
          <w:p w:rsidR="00A335EC" w:rsidRPr="00BC3A2E" w:rsidRDefault="00A335EC" w:rsidP="00BE786A">
            <w:pPr>
              <w:rPr>
                <w:rFonts w:ascii="Arial" w:hAnsi="Arial" w:cs="Arial"/>
                <w:sz w:val="24"/>
                <w:szCs w:val="24"/>
                <w:highlight w:val="yellow"/>
              </w:rPr>
            </w:pPr>
            <w:r w:rsidRPr="00E7244B">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4</w:t>
            </w:r>
          </w:p>
        </w:tc>
        <w:tc>
          <w:tcPr>
            <w:tcW w:w="8000" w:type="dxa"/>
          </w:tcPr>
          <w:p w:rsidR="00A335EC" w:rsidRPr="00810585" w:rsidRDefault="00A335EC" w:rsidP="00E7244B">
            <w:pPr>
              <w:pStyle w:val="FootnoteText"/>
            </w:pPr>
            <w:r w:rsidRPr="00810585">
              <w:rPr>
                <w:sz w:val="24"/>
                <w:szCs w:val="24"/>
              </w:rPr>
              <w:t xml:space="preserve">There was some confusion about how Aintree staff alerted Liverpool City Adult Social Care of his admission and statutory notifications of </w:t>
            </w:r>
            <w:r w:rsidR="009D29A8">
              <w:rPr>
                <w:sz w:val="24"/>
                <w:szCs w:val="24"/>
              </w:rPr>
              <w:t>“</w:t>
            </w:r>
            <w:r w:rsidRPr="00810585">
              <w:rPr>
                <w:sz w:val="24"/>
                <w:szCs w:val="24"/>
              </w:rPr>
              <w:t>assessment notice</w:t>
            </w:r>
            <w:r w:rsidR="009D29A8">
              <w:rPr>
                <w:sz w:val="24"/>
                <w:szCs w:val="24"/>
              </w:rPr>
              <w:t>”</w:t>
            </w:r>
            <w:r w:rsidRPr="00810585">
              <w:rPr>
                <w:sz w:val="24"/>
                <w:szCs w:val="24"/>
              </w:rPr>
              <w:t xml:space="preserve"> and </w:t>
            </w:r>
            <w:r w:rsidR="009D29A8">
              <w:rPr>
                <w:sz w:val="24"/>
                <w:szCs w:val="24"/>
              </w:rPr>
              <w:t>“</w:t>
            </w:r>
            <w:r w:rsidRPr="00810585">
              <w:rPr>
                <w:sz w:val="24"/>
                <w:szCs w:val="24"/>
              </w:rPr>
              <w:t>discharge notice</w:t>
            </w:r>
            <w:r w:rsidR="009D29A8">
              <w:rPr>
                <w:sz w:val="24"/>
                <w:szCs w:val="24"/>
              </w:rPr>
              <w:t>”</w:t>
            </w:r>
            <w:r w:rsidRPr="00810585">
              <w:rPr>
                <w:sz w:val="24"/>
                <w:szCs w:val="24"/>
              </w:rPr>
              <w:t xml:space="preserve"> under Care Act 2014 and The Care and Support (Discharge of Hospital Patients) Regulations 2014 were not followed.</w:t>
            </w:r>
            <w:r w:rsidRPr="00810585">
              <w:rPr>
                <w:rStyle w:val="FootnoteReference"/>
                <w:sz w:val="24"/>
                <w:szCs w:val="24"/>
              </w:rPr>
              <w:footnoteReference w:id="7"/>
            </w:r>
            <w:r w:rsidRPr="00810585">
              <w:rPr>
                <w:sz w:val="24"/>
                <w:szCs w:val="24"/>
              </w:rPr>
              <w:t xml:space="preserve"> He was admitted to a short stay ward, where he spent two weeks. At this time the social worker who had known the family for a number of years had left and concerns about Edward’s admission were not picked up immediately. Adult Social Care did not receive formal notification of his discharge and the new social worker did not have contact until after his discharge.</w:t>
            </w:r>
          </w:p>
          <w:p w:rsidR="00A335EC" w:rsidRPr="00810585" w:rsidRDefault="00A335EC" w:rsidP="00E7244B">
            <w:pPr>
              <w:rPr>
                <w:rFonts w:ascii="Arial" w:hAnsi="Arial" w:cs="Arial"/>
                <w:sz w:val="24"/>
                <w:szCs w:val="24"/>
              </w:rPr>
            </w:pPr>
          </w:p>
        </w:tc>
      </w:tr>
      <w:tr w:rsidR="00A335EC" w:rsidRPr="00681267" w:rsidTr="00A335EC">
        <w:tc>
          <w:tcPr>
            <w:tcW w:w="1242" w:type="dxa"/>
          </w:tcPr>
          <w:p w:rsidR="00A335EC" w:rsidRPr="005E2E4A" w:rsidRDefault="00A335EC" w:rsidP="00BE786A">
            <w:pPr>
              <w:rPr>
                <w:rFonts w:ascii="Arial" w:hAnsi="Arial" w:cs="Arial"/>
                <w:sz w:val="24"/>
                <w:szCs w:val="24"/>
              </w:rPr>
            </w:pPr>
            <w:r w:rsidRPr="005E2E4A">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5</w:t>
            </w:r>
          </w:p>
        </w:tc>
        <w:tc>
          <w:tcPr>
            <w:tcW w:w="8000" w:type="dxa"/>
          </w:tcPr>
          <w:p w:rsidR="00A335EC" w:rsidRPr="00810585" w:rsidRDefault="00A335EC" w:rsidP="007B12E0">
            <w:pPr>
              <w:rPr>
                <w:rFonts w:ascii="Arial" w:hAnsi="Arial" w:cs="Arial"/>
                <w:sz w:val="24"/>
                <w:szCs w:val="24"/>
              </w:rPr>
            </w:pPr>
            <w:r w:rsidRPr="00810585">
              <w:rPr>
                <w:rFonts w:ascii="Arial" w:hAnsi="Arial" w:cs="Arial"/>
                <w:sz w:val="24"/>
                <w:szCs w:val="24"/>
              </w:rPr>
              <w:t xml:space="preserve">Whilst he was in hospital it is recorded that Edward’s mum told nursing staff that she was concerned that she would not be able to administer his medication in liquid form. She was advised that home care staff would help with this and his personal care and it is recorded that Edward’s mum agreed to this. </w:t>
            </w:r>
          </w:p>
          <w:p w:rsidR="00A335EC" w:rsidRPr="00810585" w:rsidRDefault="00A335EC" w:rsidP="00216646">
            <w:pPr>
              <w:rPr>
                <w:rFonts w:ascii="Arial" w:hAnsi="Arial" w:cs="Arial"/>
                <w:sz w:val="24"/>
                <w:szCs w:val="24"/>
                <w:highlight w:val="yellow"/>
              </w:rPr>
            </w:pPr>
          </w:p>
        </w:tc>
      </w:tr>
      <w:tr w:rsidR="00A335EC" w:rsidRPr="00681267" w:rsidTr="00A335EC">
        <w:tc>
          <w:tcPr>
            <w:tcW w:w="1242" w:type="dxa"/>
          </w:tcPr>
          <w:p w:rsidR="00A335EC" w:rsidRPr="005E2E4A" w:rsidRDefault="00A335EC" w:rsidP="00BE786A">
            <w:pPr>
              <w:rPr>
                <w:rFonts w:ascii="Arial" w:hAnsi="Arial" w:cs="Arial"/>
                <w:sz w:val="24"/>
                <w:szCs w:val="24"/>
              </w:rPr>
            </w:pPr>
            <w:r w:rsidRPr="005E2E4A">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6</w:t>
            </w:r>
          </w:p>
        </w:tc>
        <w:tc>
          <w:tcPr>
            <w:tcW w:w="8000" w:type="dxa"/>
          </w:tcPr>
          <w:p w:rsidR="00A335EC" w:rsidRPr="00810585" w:rsidRDefault="00A335EC" w:rsidP="003B50CC">
            <w:pPr>
              <w:rPr>
                <w:rFonts w:ascii="Arial" w:hAnsi="Arial" w:cs="Arial"/>
                <w:sz w:val="24"/>
                <w:szCs w:val="24"/>
              </w:rPr>
            </w:pPr>
            <w:r w:rsidRPr="00810585">
              <w:rPr>
                <w:rFonts w:ascii="Arial" w:hAnsi="Arial" w:cs="Arial"/>
                <w:sz w:val="24"/>
                <w:szCs w:val="24"/>
              </w:rPr>
              <w:t>However, the newly allocated social worker was told that</w:t>
            </w:r>
            <w:r w:rsidR="009D29A8">
              <w:rPr>
                <w:rFonts w:ascii="Arial" w:hAnsi="Arial" w:cs="Arial"/>
                <w:sz w:val="24"/>
                <w:szCs w:val="24"/>
              </w:rPr>
              <w:t>,</w:t>
            </w:r>
            <w:r w:rsidRPr="00810585">
              <w:rPr>
                <w:rFonts w:ascii="Arial" w:hAnsi="Arial" w:cs="Arial"/>
                <w:sz w:val="24"/>
                <w:szCs w:val="24"/>
              </w:rPr>
              <w:t xml:space="preserve"> on leaving, Edward’s mum said that she didn’t feel she would require support regarding Edward`s personal care. Hospital staff had shown her how to give the medication and</w:t>
            </w:r>
            <w:r w:rsidR="009D29A8">
              <w:rPr>
                <w:rFonts w:ascii="Arial" w:hAnsi="Arial" w:cs="Arial"/>
                <w:sz w:val="24"/>
                <w:szCs w:val="24"/>
              </w:rPr>
              <w:t>,</w:t>
            </w:r>
            <w:r w:rsidRPr="00810585">
              <w:rPr>
                <w:rFonts w:ascii="Arial" w:hAnsi="Arial" w:cs="Arial"/>
                <w:sz w:val="24"/>
                <w:szCs w:val="24"/>
              </w:rPr>
              <w:t xml:space="preserve"> after observation</w:t>
            </w:r>
            <w:r w:rsidR="009D29A8">
              <w:rPr>
                <w:rFonts w:ascii="Arial" w:hAnsi="Arial" w:cs="Arial"/>
                <w:sz w:val="24"/>
                <w:szCs w:val="24"/>
              </w:rPr>
              <w:t>,</w:t>
            </w:r>
            <w:r w:rsidRPr="00810585">
              <w:rPr>
                <w:rFonts w:ascii="Arial" w:hAnsi="Arial" w:cs="Arial"/>
                <w:sz w:val="24"/>
                <w:szCs w:val="24"/>
              </w:rPr>
              <w:t xml:space="preserve"> judged her to be competent to do this. The social worker tried to make contact with mum as soon as she was aware of the discharge but this was not achieved as calls were not returned. She also tried to contact the LD nurse but she was on leave.</w:t>
            </w:r>
          </w:p>
          <w:p w:rsidR="00A335EC" w:rsidRPr="00810585" w:rsidRDefault="00A335EC" w:rsidP="003F22EE">
            <w:pPr>
              <w:rPr>
                <w:rFonts w:ascii="Arial" w:hAnsi="Arial" w:cs="Arial"/>
                <w:sz w:val="24"/>
                <w:szCs w:val="24"/>
              </w:rPr>
            </w:pPr>
          </w:p>
        </w:tc>
      </w:tr>
      <w:tr w:rsidR="00A335EC" w:rsidRPr="00681267" w:rsidTr="00A335EC">
        <w:tc>
          <w:tcPr>
            <w:tcW w:w="1242" w:type="dxa"/>
          </w:tcPr>
          <w:p w:rsidR="00A335EC" w:rsidRPr="005E2E4A" w:rsidRDefault="00A335EC" w:rsidP="00BE786A">
            <w:pPr>
              <w:rPr>
                <w:rFonts w:ascii="Arial" w:hAnsi="Arial" w:cs="Arial"/>
                <w:sz w:val="24"/>
                <w:szCs w:val="24"/>
              </w:rPr>
            </w:pPr>
            <w:r>
              <w:rPr>
                <w:rFonts w:ascii="Arial" w:hAnsi="Arial" w:cs="Arial"/>
                <w:sz w:val="24"/>
                <w:szCs w:val="24"/>
              </w:rPr>
              <w:t>3.</w:t>
            </w:r>
            <w:r w:rsidR="00A222BF">
              <w:rPr>
                <w:rFonts w:ascii="Arial" w:hAnsi="Arial" w:cs="Arial"/>
                <w:sz w:val="24"/>
                <w:szCs w:val="24"/>
              </w:rPr>
              <w:t>2</w:t>
            </w:r>
            <w:r w:rsidR="00BE786A">
              <w:rPr>
                <w:rFonts w:ascii="Arial" w:hAnsi="Arial" w:cs="Arial"/>
                <w:sz w:val="24"/>
                <w:szCs w:val="24"/>
              </w:rPr>
              <w:t>7</w:t>
            </w:r>
          </w:p>
        </w:tc>
        <w:tc>
          <w:tcPr>
            <w:tcW w:w="8000" w:type="dxa"/>
          </w:tcPr>
          <w:p w:rsidR="00A335EC" w:rsidRPr="00810585" w:rsidRDefault="00A335EC" w:rsidP="003B50CC">
            <w:pPr>
              <w:rPr>
                <w:rFonts w:ascii="Arial" w:hAnsi="Arial" w:cs="Arial"/>
                <w:sz w:val="24"/>
                <w:szCs w:val="24"/>
              </w:rPr>
            </w:pPr>
            <w:r w:rsidRPr="00810585">
              <w:rPr>
                <w:rFonts w:ascii="Arial" w:hAnsi="Arial" w:cs="Arial"/>
                <w:sz w:val="24"/>
                <w:szCs w:val="24"/>
              </w:rPr>
              <w:t xml:space="preserve">The GP made contact with Mersey Care LD team to facilitate the follow up appointments for Edward with the Epilepsy </w:t>
            </w:r>
            <w:r w:rsidR="009D29A8">
              <w:rPr>
                <w:rFonts w:ascii="Arial" w:hAnsi="Arial" w:cs="Arial"/>
                <w:sz w:val="24"/>
                <w:szCs w:val="24"/>
              </w:rPr>
              <w:t>C</w:t>
            </w:r>
            <w:r w:rsidRPr="00810585">
              <w:rPr>
                <w:rFonts w:ascii="Arial" w:hAnsi="Arial" w:cs="Arial"/>
                <w:sz w:val="24"/>
                <w:szCs w:val="24"/>
              </w:rPr>
              <w:t xml:space="preserve">linic and for an MRI scan of his head. He also wrote to Edward’s mum asking her to make an appointment with </w:t>
            </w:r>
            <w:r w:rsidR="009D29A8">
              <w:rPr>
                <w:rFonts w:ascii="Arial" w:hAnsi="Arial" w:cs="Arial"/>
                <w:sz w:val="24"/>
                <w:szCs w:val="24"/>
              </w:rPr>
              <w:t>“</w:t>
            </w:r>
            <w:r w:rsidRPr="00810585">
              <w:rPr>
                <w:rFonts w:ascii="Arial" w:hAnsi="Arial" w:cs="Arial"/>
                <w:sz w:val="24"/>
                <w:szCs w:val="24"/>
              </w:rPr>
              <w:t>any doctor</w:t>
            </w:r>
            <w:r w:rsidR="009D29A8">
              <w:rPr>
                <w:rFonts w:ascii="Arial" w:hAnsi="Arial" w:cs="Arial"/>
                <w:sz w:val="24"/>
                <w:szCs w:val="24"/>
              </w:rPr>
              <w:t>”</w:t>
            </w:r>
            <w:r w:rsidRPr="00810585">
              <w:rPr>
                <w:rFonts w:ascii="Arial" w:hAnsi="Arial" w:cs="Arial"/>
                <w:sz w:val="24"/>
                <w:szCs w:val="24"/>
              </w:rPr>
              <w:t xml:space="preserve"> about the arrangements for the follow up appointments. He had concerns that she had lost trust in him.</w:t>
            </w:r>
          </w:p>
          <w:p w:rsidR="00A335EC" w:rsidRPr="00810585" w:rsidRDefault="00A335EC" w:rsidP="00D7469C">
            <w:pPr>
              <w:rPr>
                <w:rFonts w:ascii="Arial" w:hAnsi="Arial" w:cs="Arial"/>
                <w:sz w:val="24"/>
                <w:szCs w:val="24"/>
              </w:rPr>
            </w:pPr>
          </w:p>
        </w:tc>
      </w:tr>
      <w:tr w:rsidR="00A335EC" w:rsidRPr="00681267" w:rsidTr="00A335EC">
        <w:tc>
          <w:tcPr>
            <w:tcW w:w="1242" w:type="dxa"/>
          </w:tcPr>
          <w:p w:rsidR="00A335EC" w:rsidRPr="005E2E4A" w:rsidRDefault="00A335EC" w:rsidP="00BE786A">
            <w:pPr>
              <w:rPr>
                <w:rFonts w:ascii="Arial" w:hAnsi="Arial" w:cs="Arial"/>
                <w:sz w:val="24"/>
                <w:szCs w:val="24"/>
              </w:rPr>
            </w:pPr>
            <w:r w:rsidRPr="005E2E4A">
              <w:rPr>
                <w:rFonts w:ascii="Arial" w:hAnsi="Arial" w:cs="Arial"/>
                <w:sz w:val="24"/>
                <w:szCs w:val="24"/>
              </w:rPr>
              <w:lastRenderedPageBreak/>
              <w:t>3.</w:t>
            </w:r>
            <w:r w:rsidR="00A222BF">
              <w:rPr>
                <w:rFonts w:ascii="Arial" w:hAnsi="Arial" w:cs="Arial"/>
                <w:sz w:val="24"/>
                <w:szCs w:val="24"/>
              </w:rPr>
              <w:t>2</w:t>
            </w:r>
            <w:r w:rsidR="00BE786A">
              <w:rPr>
                <w:rFonts w:ascii="Arial" w:hAnsi="Arial" w:cs="Arial"/>
                <w:sz w:val="24"/>
                <w:szCs w:val="24"/>
              </w:rPr>
              <w:t>8</w:t>
            </w:r>
          </w:p>
        </w:tc>
        <w:tc>
          <w:tcPr>
            <w:tcW w:w="8000" w:type="dxa"/>
          </w:tcPr>
          <w:p w:rsidR="00A335EC" w:rsidRPr="00810585" w:rsidRDefault="00BE786A" w:rsidP="00773AF1">
            <w:pPr>
              <w:rPr>
                <w:rFonts w:ascii="Arial" w:hAnsi="Arial" w:cs="Arial"/>
                <w:sz w:val="24"/>
                <w:szCs w:val="24"/>
              </w:rPr>
            </w:pPr>
            <w:r w:rsidRPr="00810585">
              <w:rPr>
                <w:rFonts w:ascii="Arial" w:hAnsi="Arial" w:cs="Arial"/>
                <w:sz w:val="24"/>
                <w:szCs w:val="24"/>
              </w:rPr>
              <w:t>During August and September a number of attempts were made by the social worker and Mersey Care staff</w:t>
            </w:r>
            <w:r w:rsidR="00773AF1" w:rsidRPr="00810585">
              <w:rPr>
                <w:rFonts w:ascii="Arial" w:hAnsi="Arial" w:cs="Arial"/>
                <w:sz w:val="24"/>
                <w:szCs w:val="24"/>
              </w:rPr>
              <w:t xml:space="preserve"> to see Edward, but these were avoided by the family, who deemed them to be unnecessary.</w:t>
            </w:r>
          </w:p>
        </w:tc>
      </w:tr>
      <w:tr w:rsidR="00A335EC" w:rsidRPr="00681267" w:rsidTr="00A335EC">
        <w:tc>
          <w:tcPr>
            <w:tcW w:w="1242" w:type="dxa"/>
          </w:tcPr>
          <w:p w:rsidR="00A335EC" w:rsidRPr="00A335EC" w:rsidRDefault="00A335EC" w:rsidP="00773AF1">
            <w:pPr>
              <w:rPr>
                <w:rFonts w:ascii="Arial" w:hAnsi="Arial" w:cs="Arial"/>
                <w:sz w:val="24"/>
                <w:szCs w:val="24"/>
              </w:rPr>
            </w:pPr>
            <w:r w:rsidRPr="00A335EC">
              <w:rPr>
                <w:rFonts w:ascii="Arial" w:hAnsi="Arial" w:cs="Arial"/>
                <w:sz w:val="24"/>
                <w:szCs w:val="24"/>
              </w:rPr>
              <w:t>3.</w:t>
            </w:r>
            <w:r w:rsidR="00773AF1">
              <w:rPr>
                <w:rFonts w:ascii="Arial" w:hAnsi="Arial" w:cs="Arial"/>
                <w:sz w:val="24"/>
                <w:szCs w:val="24"/>
              </w:rPr>
              <w:t>29</w:t>
            </w:r>
          </w:p>
        </w:tc>
        <w:tc>
          <w:tcPr>
            <w:tcW w:w="8000" w:type="dxa"/>
          </w:tcPr>
          <w:p w:rsidR="00A335EC" w:rsidRDefault="00A222BF" w:rsidP="007D6681">
            <w:pPr>
              <w:rPr>
                <w:rFonts w:ascii="Arial" w:hAnsi="Arial" w:cs="Arial"/>
                <w:sz w:val="24"/>
                <w:szCs w:val="24"/>
              </w:rPr>
            </w:pPr>
            <w:r>
              <w:rPr>
                <w:rFonts w:ascii="Arial" w:hAnsi="Arial" w:cs="Arial"/>
                <w:sz w:val="24"/>
                <w:szCs w:val="24"/>
              </w:rPr>
              <w:t>In the first week of</w:t>
            </w:r>
            <w:r w:rsidR="00A335EC" w:rsidRPr="00E45938">
              <w:rPr>
                <w:rFonts w:ascii="Arial" w:hAnsi="Arial" w:cs="Arial"/>
                <w:sz w:val="24"/>
                <w:szCs w:val="24"/>
              </w:rPr>
              <w:t xml:space="preserve"> October</w:t>
            </w:r>
            <w:r w:rsidR="009D29A8">
              <w:rPr>
                <w:rFonts w:ascii="Arial" w:hAnsi="Arial" w:cs="Arial"/>
                <w:sz w:val="24"/>
                <w:szCs w:val="24"/>
              </w:rPr>
              <w:t>,</w:t>
            </w:r>
            <w:r w:rsidR="00A335EC" w:rsidRPr="00E45938">
              <w:rPr>
                <w:rFonts w:ascii="Arial" w:hAnsi="Arial" w:cs="Arial"/>
                <w:sz w:val="24"/>
                <w:szCs w:val="24"/>
              </w:rPr>
              <w:t xml:space="preserve"> </w:t>
            </w:r>
            <w:r w:rsidR="00A335EC">
              <w:rPr>
                <w:rFonts w:ascii="Arial" w:hAnsi="Arial" w:cs="Arial"/>
                <w:sz w:val="24"/>
                <w:szCs w:val="24"/>
              </w:rPr>
              <w:t>Edward</w:t>
            </w:r>
            <w:r w:rsidR="00A335EC" w:rsidRPr="00E45938">
              <w:rPr>
                <w:rFonts w:ascii="Arial" w:hAnsi="Arial" w:cs="Arial"/>
                <w:sz w:val="24"/>
                <w:szCs w:val="24"/>
              </w:rPr>
              <w:t xml:space="preserve"> died</w:t>
            </w:r>
            <w:r>
              <w:rPr>
                <w:rFonts w:ascii="Arial" w:hAnsi="Arial" w:cs="Arial"/>
                <w:sz w:val="24"/>
                <w:szCs w:val="24"/>
              </w:rPr>
              <w:t xml:space="preserve"> suddenly</w:t>
            </w:r>
            <w:r w:rsidR="00A335EC" w:rsidRPr="00E45938">
              <w:rPr>
                <w:rFonts w:ascii="Arial" w:hAnsi="Arial" w:cs="Arial"/>
                <w:sz w:val="24"/>
                <w:szCs w:val="24"/>
              </w:rPr>
              <w:t xml:space="preserve">. There is no information from any agency that </w:t>
            </w:r>
            <w:r w:rsidR="00A335EC">
              <w:rPr>
                <w:rFonts w:ascii="Arial" w:hAnsi="Arial" w:cs="Arial"/>
                <w:sz w:val="24"/>
                <w:szCs w:val="24"/>
              </w:rPr>
              <w:t>he</w:t>
            </w:r>
            <w:r w:rsidR="00A335EC" w:rsidRPr="00E45938">
              <w:rPr>
                <w:rFonts w:ascii="Arial" w:hAnsi="Arial" w:cs="Arial"/>
                <w:sz w:val="24"/>
                <w:szCs w:val="24"/>
              </w:rPr>
              <w:t xml:space="preserve"> was seen</w:t>
            </w:r>
            <w:r w:rsidR="00A335EC">
              <w:rPr>
                <w:rFonts w:ascii="Arial" w:hAnsi="Arial" w:cs="Arial"/>
                <w:sz w:val="24"/>
                <w:szCs w:val="24"/>
              </w:rPr>
              <w:t xml:space="preserve"> by any professional</w:t>
            </w:r>
            <w:r w:rsidR="00A335EC" w:rsidRPr="00E45938">
              <w:rPr>
                <w:rFonts w:ascii="Arial" w:hAnsi="Arial" w:cs="Arial"/>
                <w:sz w:val="24"/>
                <w:szCs w:val="24"/>
              </w:rPr>
              <w:t xml:space="preserve"> in the two months from 3</w:t>
            </w:r>
            <w:r w:rsidR="00A335EC" w:rsidRPr="00E45938">
              <w:rPr>
                <w:rFonts w:ascii="Arial" w:hAnsi="Arial" w:cs="Arial"/>
                <w:sz w:val="24"/>
                <w:szCs w:val="24"/>
                <w:vertAlign w:val="superscript"/>
              </w:rPr>
              <w:t>rd</w:t>
            </w:r>
            <w:r w:rsidR="00A335EC" w:rsidRPr="00E45938">
              <w:rPr>
                <w:rFonts w:ascii="Arial" w:hAnsi="Arial" w:cs="Arial"/>
                <w:sz w:val="24"/>
                <w:szCs w:val="24"/>
              </w:rPr>
              <w:t xml:space="preserve"> August following hospital discharge to his death</w:t>
            </w:r>
            <w:r w:rsidR="00A335EC">
              <w:rPr>
                <w:rFonts w:ascii="Arial" w:hAnsi="Arial" w:cs="Arial"/>
                <w:sz w:val="24"/>
                <w:szCs w:val="24"/>
              </w:rPr>
              <w:t>.</w:t>
            </w: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Default="007461C1" w:rsidP="007D6681">
            <w:pPr>
              <w:rPr>
                <w:rFonts w:ascii="Arial" w:hAnsi="Arial" w:cs="Arial"/>
                <w:sz w:val="24"/>
                <w:szCs w:val="24"/>
              </w:rPr>
            </w:pPr>
          </w:p>
          <w:p w:rsidR="007461C1" w:rsidRPr="00E45938" w:rsidRDefault="007461C1" w:rsidP="007D6681">
            <w:pPr>
              <w:rPr>
                <w:rFonts w:ascii="Arial" w:hAnsi="Arial" w:cs="Arial"/>
                <w:sz w:val="24"/>
                <w:szCs w:val="24"/>
              </w:rPr>
            </w:pPr>
          </w:p>
          <w:p w:rsidR="00A335EC" w:rsidRPr="00BC3A2E" w:rsidRDefault="00A335EC" w:rsidP="005E2E4A">
            <w:pPr>
              <w:rPr>
                <w:rFonts w:ascii="Arial" w:hAnsi="Arial" w:cs="Arial"/>
                <w:sz w:val="24"/>
                <w:szCs w:val="24"/>
                <w:highlight w:val="yellow"/>
              </w:rPr>
            </w:pPr>
          </w:p>
        </w:tc>
      </w:tr>
      <w:tr w:rsidR="00A335EC" w:rsidRPr="00681267" w:rsidTr="00A335EC">
        <w:tc>
          <w:tcPr>
            <w:tcW w:w="1242" w:type="dxa"/>
          </w:tcPr>
          <w:p w:rsidR="00A335EC" w:rsidRPr="00A335EC" w:rsidRDefault="00A335EC" w:rsidP="00A335EC">
            <w:pPr>
              <w:rPr>
                <w:rFonts w:ascii="Arial" w:hAnsi="Arial" w:cs="Arial"/>
                <w:b/>
                <w:sz w:val="24"/>
                <w:szCs w:val="24"/>
              </w:rPr>
            </w:pPr>
            <w:r w:rsidRPr="00A335EC">
              <w:rPr>
                <w:rFonts w:ascii="Arial" w:hAnsi="Arial" w:cs="Arial"/>
                <w:b/>
                <w:sz w:val="24"/>
                <w:szCs w:val="24"/>
              </w:rPr>
              <w:lastRenderedPageBreak/>
              <w:t>4.</w:t>
            </w:r>
          </w:p>
        </w:tc>
        <w:tc>
          <w:tcPr>
            <w:tcW w:w="8000" w:type="dxa"/>
          </w:tcPr>
          <w:p w:rsidR="00A335EC" w:rsidRPr="008579E3" w:rsidRDefault="00A335EC" w:rsidP="00C8642D">
            <w:pPr>
              <w:rPr>
                <w:rFonts w:ascii="Arial" w:hAnsi="Arial" w:cs="Arial"/>
                <w:b/>
                <w:sz w:val="28"/>
                <w:szCs w:val="28"/>
              </w:rPr>
            </w:pPr>
            <w:r w:rsidRPr="008579E3">
              <w:rPr>
                <w:rFonts w:ascii="Arial" w:hAnsi="Arial" w:cs="Arial"/>
                <w:b/>
                <w:sz w:val="28"/>
                <w:szCs w:val="28"/>
              </w:rPr>
              <w:t>Findings and Analysis</w:t>
            </w:r>
          </w:p>
        </w:tc>
      </w:tr>
      <w:tr w:rsidR="00A335EC" w:rsidRPr="00681267" w:rsidTr="00A335EC">
        <w:tc>
          <w:tcPr>
            <w:tcW w:w="1242" w:type="dxa"/>
          </w:tcPr>
          <w:p w:rsidR="00A335EC" w:rsidRPr="00BC3A2E" w:rsidRDefault="00A335EC" w:rsidP="0067158B">
            <w:pPr>
              <w:rPr>
                <w:rFonts w:ascii="Arial" w:hAnsi="Arial" w:cs="Arial"/>
                <w:sz w:val="24"/>
                <w:szCs w:val="24"/>
                <w:highlight w:val="yellow"/>
              </w:rPr>
            </w:pPr>
          </w:p>
        </w:tc>
        <w:tc>
          <w:tcPr>
            <w:tcW w:w="8000" w:type="dxa"/>
          </w:tcPr>
          <w:p w:rsidR="00A335EC" w:rsidRPr="00681267" w:rsidRDefault="00A335EC" w:rsidP="00C8642D">
            <w:pPr>
              <w:spacing w:after="200" w:line="276" w:lineRule="auto"/>
              <w:contextualSpacing/>
              <w:rPr>
                <w:rFonts w:ascii="Arial" w:hAnsi="Arial" w:cs="Arial"/>
                <w:sz w:val="24"/>
                <w:szCs w:val="24"/>
              </w:rPr>
            </w:pPr>
            <w:r w:rsidRPr="00681267">
              <w:rPr>
                <w:rFonts w:ascii="Arial" w:hAnsi="Arial" w:cs="Arial"/>
                <w:sz w:val="24"/>
                <w:szCs w:val="24"/>
              </w:rPr>
              <w:t>The Practice Guidance developed by the Social Care Institute for Excellence (SCIE) to assist agencies carrying out Safeguarding Adult Reviews (SARS) as required by the Care Act 2014, suggested that the SAR needed to achieve understanding of the following:</w:t>
            </w:r>
          </w:p>
          <w:p w:rsidR="00A335EC" w:rsidRPr="00681267" w:rsidRDefault="00A335EC" w:rsidP="00C8642D">
            <w:pPr>
              <w:pStyle w:val="Normal1"/>
              <w:numPr>
                <w:ilvl w:val="0"/>
                <w:numId w:val="11"/>
              </w:numPr>
              <w:spacing w:line="240" w:lineRule="auto"/>
              <w:rPr>
                <w:rFonts w:cs="Arial"/>
                <w:szCs w:val="24"/>
              </w:rPr>
            </w:pPr>
            <w:r w:rsidRPr="00681267">
              <w:rPr>
                <w:rFonts w:cs="Arial"/>
                <w:szCs w:val="24"/>
              </w:rPr>
              <w:t xml:space="preserve">What happened? </w:t>
            </w:r>
          </w:p>
          <w:p w:rsidR="00A335EC" w:rsidRPr="00681267" w:rsidRDefault="00A335EC" w:rsidP="00C8642D">
            <w:pPr>
              <w:pStyle w:val="Normal1"/>
              <w:numPr>
                <w:ilvl w:val="0"/>
                <w:numId w:val="11"/>
              </w:numPr>
              <w:spacing w:line="240" w:lineRule="auto"/>
              <w:rPr>
                <w:rFonts w:cs="Arial"/>
                <w:szCs w:val="24"/>
              </w:rPr>
            </w:pPr>
            <w:r w:rsidRPr="00681267">
              <w:rPr>
                <w:rFonts w:cs="Arial"/>
                <w:szCs w:val="24"/>
              </w:rPr>
              <w:t>Were there any errors or problematic practice and/or what could have been done differently? Why did those errors or problematic practice occur and/or why were things not done differently?</w:t>
            </w:r>
          </w:p>
          <w:p w:rsidR="00A335EC" w:rsidRPr="00A335EC" w:rsidRDefault="00A335EC" w:rsidP="00C8642D">
            <w:pPr>
              <w:pStyle w:val="Normal1"/>
              <w:numPr>
                <w:ilvl w:val="0"/>
                <w:numId w:val="11"/>
              </w:numPr>
              <w:spacing w:line="240" w:lineRule="auto"/>
              <w:rPr>
                <w:rFonts w:cs="Arial"/>
                <w:b/>
                <w:szCs w:val="24"/>
              </w:rPr>
            </w:pPr>
            <w:r w:rsidRPr="00681267">
              <w:rPr>
                <w:rFonts w:cs="Arial"/>
                <w:szCs w:val="24"/>
              </w:rPr>
              <w:t>What remedial action needs to be taken in relation to the findings to help prevent similar harm in future cases?</w:t>
            </w:r>
          </w:p>
          <w:p w:rsidR="00A335EC" w:rsidRPr="00681267" w:rsidRDefault="00A335EC" w:rsidP="00A335EC">
            <w:pPr>
              <w:pStyle w:val="Normal1"/>
              <w:spacing w:line="240" w:lineRule="auto"/>
              <w:ind w:left="1778"/>
              <w:rPr>
                <w:rFonts w:cs="Arial"/>
                <w:b/>
                <w:szCs w:val="24"/>
              </w:rPr>
            </w:pPr>
          </w:p>
        </w:tc>
      </w:tr>
      <w:tr w:rsidR="00A335EC" w:rsidRPr="00681267" w:rsidTr="00A335EC">
        <w:tc>
          <w:tcPr>
            <w:tcW w:w="1242" w:type="dxa"/>
          </w:tcPr>
          <w:p w:rsidR="00A335EC" w:rsidRPr="00A335EC" w:rsidRDefault="00A335EC" w:rsidP="0067158B">
            <w:pPr>
              <w:rPr>
                <w:rFonts w:ascii="Arial" w:hAnsi="Arial" w:cs="Arial"/>
                <w:sz w:val="24"/>
                <w:szCs w:val="24"/>
              </w:rPr>
            </w:pPr>
            <w:r w:rsidRPr="00A335EC">
              <w:rPr>
                <w:rFonts w:ascii="Arial" w:hAnsi="Arial" w:cs="Arial"/>
                <w:sz w:val="24"/>
                <w:szCs w:val="24"/>
              </w:rPr>
              <w:t>4.1</w:t>
            </w:r>
          </w:p>
        </w:tc>
        <w:tc>
          <w:tcPr>
            <w:tcW w:w="8000" w:type="dxa"/>
          </w:tcPr>
          <w:p w:rsidR="00A335EC" w:rsidRDefault="00A335EC" w:rsidP="00C8642D">
            <w:pPr>
              <w:contextualSpacing/>
              <w:rPr>
                <w:rFonts w:ascii="Arial" w:hAnsi="Arial" w:cs="Arial"/>
                <w:sz w:val="24"/>
                <w:szCs w:val="24"/>
              </w:rPr>
            </w:pPr>
            <w:r>
              <w:rPr>
                <w:rFonts w:ascii="Arial" w:hAnsi="Arial" w:cs="Arial"/>
                <w:sz w:val="24"/>
                <w:szCs w:val="24"/>
              </w:rPr>
              <w:t>Edward</w:t>
            </w:r>
            <w:r w:rsidRPr="00681267">
              <w:rPr>
                <w:rFonts w:ascii="Arial" w:hAnsi="Arial" w:cs="Arial"/>
                <w:sz w:val="24"/>
                <w:szCs w:val="24"/>
              </w:rPr>
              <w:t xml:space="preserve"> was an adult with care and support needs as a result of his </w:t>
            </w:r>
            <w:r>
              <w:rPr>
                <w:rFonts w:ascii="Arial" w:hAnsi="Arial" w:cs="Arial"/>
                <w:sz w:val="24"/>
                <w:szCs w:val="24"/>
              </w:rPr>
              <w:t xml:space="preserve">learning and physical </w:t>
            </w:r>
            <w:r w:rsidRPr="00681267">
              <w:rPr>
                <w:rFonts w:ascii="Arial" w:hAnsi="Arial" w:cs="Arial"/>
                <w:sz w:val="24"/>
                <w:szCs w:val="24"/>
              </w:rPr>
              <w:t>disabilities</w:t>
            </w:r>
            <w:r>
              <w:rPr>
                <w:rFonts w:ascii="Arial" w:hAnsi="Arial" w:cs="Arial"/>
                <w:sz w:val="24"/>
                <w:szCs w:val="24"/>
              </w:rPr>
              <w:t xml:space="preserve"> and probable autism</w:t>
            </w:r>
            <w:r w:rsidRPr="00681267">
              <w:rPr>
                <w:rFonts w:ascii="Arial" w:hAnsi="Arial" w:cs="Arial"/>
                <w:sz w:val="24"/>
                <w:szCs w:val="24"/>
              </w:rPr>
              <w:t xml:space="preserve">. </w:t>
            </w:r>
            <w:r>
              <w:rPr>
                <w:rFonts w:ascii="Arial" w:hAnsi="Arial" w:cs="Arial"/>
                <w:sz w:val="24"/>
                <w:szCs w:val="24"/>
              </w:rPr>
              <w:t>Given the mental capacity assessment that did take place</w:t>
            </w:r>
            <w:r w:rsidR="009D29A8">
              <w:rPr>
                <w:rFonts w:ascii="Arial" w:hAnsi="Arial" w:cs="Arial"/>
                <w:sz w:val="24"/>
                <w:szCs w:val="24"/>
              </w:rPr>
              <w:t>,</w:t>
            </w:r>
            <w:r>
              <w:rPr>
                <w:rFonts w:ascii="Arial" w:hAnsi="Arial" w:cs="Arial"/>
                <w:sz w:val="24"/>
                <w:szCs w:val="24"/>
              </w:rPr>
              <w:t xml:space="preserve"> it is likely that he was only ever capable of making simple day to day decisions for himself and could not protect himself. </w:t>
            </w:r>
          </w:p>
          <w:p w:rsidR="00A335EC" w:rsidRPr="00681267" w:rsidRDefault="00A335EC" w:rsidP="00C8642D">
            <w:pPr>
              <w:contextualSpacing/>
              <w:rPr>
                <w:rFonts w:ascii="Arial" w:hAnsi="Arial" w:cs="Arial"/>
                <w:sz w:val="24"/>
                <w:szCs w:val="24"/>
              </w:rPr>
            </w:pPr>
            <w:r w:rsidRPr="00681267">
              <w:rPr>
                <w:rFonts w:ascii="Arial" w:hAnsi="Arial" w:cs="Arial"/>
                <w:sz w:val="24"/>
                <w:szCs w:val="24"/>
              </w:rPr>
              <w:t xml:space="preserve">His </w:t>
            </w:r>
            <w:r>
              <w:rPr>
                <w:rFonts w:ascii="Arial" w:hAnsi="Arial" w:cs="Arial"/>
                <w:sz w:val="24"/>
                <w:szCs w:val="24"/>
              </w:rPr>
              <w:t>mum</w:t>
            </w:r>
            <w:r w:rsidR="009D29A8">
              <w:rPr>
                <w:rFonts w:ascii="Arial" w:hAnsi="Arial" w:cs="Arial"/>
                <w:sz w:val="24"/>
                <w:szCs w:val="24"/>
              </w:rPr>
              <w:t>,</w:t>
            </w:r>
            <w:r w:rsidRPr="00681267">
              <w:rPr>
                <w:rFonts w:ascii="Arial" w:hAnsi="Arial" w:cs="Arial"/>
                <w:sz w:val="24"/>
                <w:szCs w:val="24"/>
              </w:rPr>
              <w:t xml:space="preserve"> who was his primary carer</w:t>
            </w:r>
            <w:r w:rsidR="009D29A8">
              <w:rPr>
                <w:rFonts w:ascii="Arial" w:hAnsi="Arial" w:cs="Arial"/>
                <w:sz w:val="24"/>
                <w:szCs w:val="24"/>
              </w:rPr>
              <w:t>,</w:t>
            </w:r>
            <w:r w:rsidRPr="00681267">
              <w:rPr>
                <w:rFonts w:ascii="Arial" w:hAnsi="Arial" w:cs="Arial"/>
                <w:sz w:val="24"/>
                <w:szCs w:val="24"/>
              </w:rPr>
              <w:t xml:space="preserve"> also had some less obvious </w:t>
            </w:r>
            <w:r>
              <w:rPr>
                <w:rFonts w:ascii="Arial" w:hAnsi="Arial" w:cs="Arial"/>
                <w:sz w:val="24"/>
                <w:szCs w:val="24"/>
              </w:rPr>
              <w:t>difficulties</w:t>
            </w:r>
            <w:r w:rsidRPr="00681267">
              <w:rPr>
                <w:rFonts w:ascii="Arial" w:hAnsi="Arial" w:cs="Arial"/>
                <w:sz w:val="24"/>
                <w:szCs w:val="24"/>
              </w:rPr>
              <w:t xml:space="preserve">, as did </w:t>
            </w:r>
            <w:r>
              <w:rPr>
                <w:rFonts w:ascii="Arial" w:hAnsi="Arial" w:cs="Arial"/>
                <w:sz w:val="24"/>
                <w:szCs w:val="24"/>
              </w:rPr>
              <w:t>his sisters who shared the family home.</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A335EC" w:rsidRDefault="00A335EC" w:rsidP="0067158B">
            <w:pPr>
              <w:rPr>
                <w:rFonts w:ascii="Arial" w:hAnsi="Arial" w:cs="Arial"/>
                <w:sz w:val="24"/>
                <w:szCs w:val="24"/>
              </w:rPr>
            </w:pPr>
            <w:r w:rsidRPr="00A335EC">
              <w:rPr>
                <w:rFonts w:ascii="Arial" w:hAnsi="Arial" w:cs="Arial"/>
                <w:sz w:val="24"/>
                <w:szCs w:val="24"/>
              </w:rPr>
              <w:t>4.2</w:t>
            </w:r>
          </w:p>
        </w:tc>
        <w:tc>
          <w:tcPr>
            <w:tcW w:w="8000" w:type="dxa"/>
          </w:tcPr>
          <w:p w:rsidR="00A335EC" w:rsidRPr="00681267" w:rsidRDefault="00A335EC" w:rsidP="00C8642D">
            <w:pPr>
              <w:contextualSpacing/>
              <w:rPr>
                <w:rFonts w:ascii="Arial" w:hAnsi="Arial" w:cs="Arial"/>
                <w:sz w:val="24"/>
                <w:szCs w:val="24"/>
              </w:rPr>
            </w:pPr>
            <w:r w:rsidRPr="00681267">
              <w:rPr>
                <w:rFonts w:ascii="Arial" w:hAnsi="Arial" w:cs="Arial"/>
                <w:sz w:val="24"/>
                <w:szCs w:val="24"/>
              </w:rPr>
              <w:t>Professional contact</w:t>
            </w:r>
            <w:r w:rsidR="009D29A8" w:rsidRPr="00681267">
              <w:rPr>
                <w:rFonts w:ascii="Arial" w:hAnsi="Arial" w:cs="Arial"/>
                <w:sz w:val="24"/>
                <w:szCs w:val="24"/>
              </w:rPr>
              <w:t xml:space="preserve"> with the family</w:t>
            </w:r>
            <w:r w:rsidRPr="00681267">
              <w:rPr>
                <w:rFonts w:ascii="Arial" w:hAnsi="Arial" w:cs="Arial"/>
                <w:sz w:val="24"/>
                <w:szCs w:val="24"/>
              </w:rPr>
              <w:t>, particularly from social workers</w:t>
            </w:r>
            <w:r w:rsidR="009E52C3" w:rsidRPr="00681267">
              <w:rPr>
                <w:rFonts w:ascii="Arial" w:hAnsi="Arial" w:cs="Arial"/>
                <w:sz w:val="24"/>
                <w:szCs w:val="24"/>
              </w:rPr>
              <w:t>, which</w:t>
            </w:r>
            <w:r w:rsidRPr="00681267">
              <w:rPr>
                <w:rFonts w:ascii="Arial" w:hAnsi="Arial" w:cs="Arial"/>
                <w:sz w:val="24"/>
                <w:szCs w:val="24"/>
              </w:rPr>
              <w:t xml:space="preserve"> could have assisted </w:t>
            </w:r>
            <w:r>
              <w:rPr>
                <w:rFonts w:ascii="Arial" w:hAnsi="Arial" w:cs="Arial"/>
                <w:sz w:val="24"/>
                <w:szCs w:val="24"/>
              </w:rPr>
              <w:t>Edward</w:t>
            </w:r>
            <w:r w:rsidRPr="00681267">
              <w:rPr>
                <w:rFonts w:ascii="Arial" w:hAnsi="Arial" w:cs="Arial"/>
                <w:sz w:val="24"/>
                <w:szCs w:val="24"/>
              </w:rPr>
              <w:t xml:space="preserve"> and </w:t>
            </w:r>
            <w:r>
              <w:rPr>
                <w:rFonts w:ascii="Arial" w:hAnsi="Arial" w:cs="Arial"/>
                <w:sz w:val="24"/>
                <w:szCs w:val="24"/>
              </w:rPr>
              <w:t>his mum</w:t>
            </w:r>
            <w:r w:rsidRPr="00681267">
              <w:rPr>
                <w:rFonts w:ascii="Arial" w:hAnsi="Arial" w:cs="Arial"/>
                <w:sz w:val="24"/>
                <w:szCs w:val="24"/>
              </w:rPr>
              <w:t xml:space="preserve"> as a carer, was resisted</w:t>
            </w:r>
            <w:r w:rsidR="00810585">
              <w:rPr>
                <w:rFonts w:ascii="Arial" w:hAnsi="Arial" w:cs="Arial"/>
                <w:sz w:val="24"/>
                <w:szCs w:val="24"/>
              </w:rPr>
              <w:t>/avoided</w:t>
            </w:r>
            <w:r w:rsidRPr="00681267">
              <w:rPr>
                <w:rFonts w:ascii="Arial" w:hAnsi="Arial" w:cs="Arial"/>
                <w:sz w:val="24"/>
                <w:szCs w:val="24"/>
              </w:rPr>
              <w:t xml:space="preserve"> by her. When she did </w:t>
            </w:r>
            <w:r>
              <w:rPr>
                <w:rFonts w:ascii="Arial" w:hAnsi="Arial" w:cs="Arial"/>
                <w:sz w:val="24"/>
                <w:szCs w:val="24"/>
              </w:rPr>
              <w:t>say she thought she would need</w:t>
            </w:r>
            <w:r w:rsidRPr="00681267">
              <w:rPr>
                <w:rFonts w:ascii="Arial" w:hAnsi="Arial" w:cs="Arial"/>
                <w:sz w:val="24"/>
                <w:szCs w:val="24"/>
              </w:rPr>
              <w:t xml:space="preserve"> assistance, for instance on </w:t>
            </w:r>
            <w:r>
              <w:rPr>
                <w:rFonts w:ascii="Arial" w:hAnsi="Arial" w:cs="Arial"/>
                <w:sz w:val="24"/>
                <w:szCs w:val="24"/>
              </w:rPr>
              <w:t>Edward</w:t>
            </w:r>
            <w:r w:rsidRPr="00681267">
              <w:rPr>
                <w:rFonts w:ascii="Arial" w:hAnsi="Arial" w:cs="Arial"/>
                <w:sz w:val="24"/>
                <w:szCs w:val="24"/>
              </w:rPr>
              <w:t xml:space="preserve">’s discharge from hospital following his second seizure, it was quickly refused </w:t>
            </w:r>
            <w:r w:rsidR="009D29A8">
              <w:rPr>
                <w:rFonts w:ascii="Arial" w:hAnsi="Arial" w:cs="Arial"/>
                <w:sz w:val="24"/>
                <w:szCs w:val="24"/>
              </w:rPr>
              <w:t>once</w:t>
            </w:r>
            <w:r w:rsidRPr="00681267">
              <w:rPr>
                <w:rFonts w:ascii="Arial" w:hAnsi="Arial" w:cs="Arial"/>
                <w:sz w:val="24"/>
                <w:szCs w:val="24"/>
              </w:rPr>
              <w:t xml:space="preserve"> he was at home.</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A335EC" w:rsidRDefault="00A335EC" w:rsidP="0067158B">
            <w:pPr>
              <w:rPr>
                <w:rFonts w:ascii="Arial" w:hAnsi="Arial" w:cs="Arial"/>
                <w:sz w:val="24"/>
                <w:szCs w:val="24"/>
              </w:rPr>
            </w:pPr>
            <w:r w:rsidRPr="00A335EC">
              <w:rPr>
                <w:rFonts w:ascii="Arial" w:hAnsi="Arial" w:cs="Arial"/>
                <w:sz w:val="24"/>
                <w:szCs w:val="24"/>
              </w:rPr>
              <w:t>4.3</w:t>
            </w:r>
          </w:p>
        </w:tc>
        <w:tc>
          <w:tcPr>
            <w:tcW w:w="8000" w:type="dxa"/>
          </w:tcPr>
          <w:p w:rsidR="00A335EC" w:rsidRPr="00681267" w:rsidRDefault="00A335EC" w:rsidP="00C8642D">
            <w:pPr>
              <w:contextualSpacing/>
              <w:rPr>
                <w:rFonts w:ascii="Arial" w:hAnsi="Arial" w:cs="Arial"/>
                <w:sz w:val="24"/>
                <w:szCs w:val="24"/>
              </w:rPr>
            </w:pPr>
            <w:r w:rsidRPr="00681267">
              <w:rPr>
                <w:rFonts w:ascii="Arial" w:hAnsi="Arial" w:cs="Arial"/>
                <w:sz w:val="24"/>
                <w:szCs w:val="24"/>
              </w:rPr>
              <w:t xml:space="preserve">Health interventions were agreed reluctantly by </w:t>
            </w:r>
            <w:r>
              <w:rPr>
                <w:rFonts w:ascii="Arial" w:hAnsi="Arial" w:cs="Arial"/>
                <w:sz w:val="24"/>
                <w:szCs w:val="24"/>
              </w:rPr>
              <w:t>Edward’s mum</w:t>
            </w:r>
            <w:r w:rsidRPr="00681267">
              <w:rPr>
                <w:rFonts w:ascii="Arial" w:hAnsi="Arial" w:cs="Arial"/>
                <w:sz w:val="24"/>
                <w:szCs w:val="24"/>
              </w:rPr>
              <w:t xml:space="preserve"> and by the time </w:t>
            </w:r>
            <w:r>
              <w:rPr>
                <w:rFonts w:ascii="Arial" w:hAnsi="Arial" w:cs="Arial"/>
                <w:sz w:val="24"/>
                <w:szCs w:val="24"/>
              </w:rPr>
              <w:t>Edward</w:t>
            </w:r>
            <w:r w:rsidRPr="00681267">
              <w:rPr>
                <w:rFonts w:ascii="Arial" w:hAnsi="Arial" w:cs="Arial"/>
                <w:sz w:val="24"/>
                <w:szCs w:val="24"/>
              </w:rPr>
              <w:t xml:space="preserve"> needed such interventions for what might have been serious but potentially treatable illnesses, his </w:t>
            </w:r>
            <w:r>
              <w:rPr>
                <w:rFonts w:ascii="Arial" w:hAnsi="Arial" w:cs="Arial"/>
                <w:sz w:val="24"/>
                <w:szCs w:val="24"/>
              </w:rPr>
              <w:t>fearful and resistant behaviours</w:t>
            </w:r>
            <w:r w:rsidRPr="00681267">
              <w:rPr>
                <w:rFonts w:ascii="Arial" w:hAnsi="Arial" w:cs="Arial"/>
                <w:sz w:val="24"/>
                <w:szCs w:val="24"/>
              </w:rPr>
              <w:t xml:space="preserve"> in relation to leaving the house and cooperating with strangers were firmly established.</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A335EC" w:rsidRDefault="00A335EC" w:rsidP="0067158B">
            <w:pPr>
              <w:rPr>
                <w:rFonts w:ascii="Arial" w:hAnsi="Arial" w:cs="Arial"/>
                <w:sz w:val="24"/>
                <w:szCs w:val="24"/>
              </w:rPr>
            </w:pPr>
            <w:r w:rsidRPr="00A335EC">
              <w:rPr>
                <w:rFonts w:ascii="Arial" w:hAnsi="Arial" w:cs="Arial"/>
                <w:sz w:val="24"/>
                <w:szCs w:val="24"/>
              </w:rPr>
              <w:t>4.4</w:t>
            </w:r>
          </w:p>
        </w:tc>
        <w:tc>
          <w:tcPr>
            <w:tcW w:w="8000" w:type="dxa"/>
          </w:tcPr>
          <w:p w:rsidR="00A335EC" w:rsidRPr="00681267" w:rsidRDefault="00A335EC" w:rsidP="00C8642D">
            <w:pPr>
              <w:contextualSpacing/>
              <w:rPr>
                <w:rFonts w:ascii="Arial" w:hAnsi="Arial" w:cs="Arial"/>
                <w:sz w:val="24"/>
                <w:szCs w:val="24"/>
              </w:rPr>
            </w:pPr>
            <w:r w:rsidRPr="00681267">
              <w:rPr>
                <w:rFonts w:ascii="Arial" w:hAnsi="Arial" w:cs="Arial"/>
                <w:sz w:val="24"/>
                <w:szCs w:val="24"/>
              </w:rPr>
              <w:t xml:space="preserve">It was obviously very difficult for </w:t>
            </w:r>
            <w:r>
              <w:rPr>
                <w:rFonts w:ascii="Arial" w:hAnsi="Arial" w:cs="Arial"/>
                <w:sz w:val="24"/>
                <w:szCs w:val="24"/>
              </w:rPr>
              <w:t>Edward’s mum</w:t>
            </w:r>
            <w:r w:rsidRPr="00681267">
              <w:rPr>
                <w:rFonts w:ascii="Arial" w:hAnsi="Arial" w:cs="Arial"/>
                <w:sz w:val="24"/>
                <w:szCs w:val="24"/>
              </w:rPr>
              <w:t xml:space="preserve"> to </w:t>
            </w:r>
            <w:r>
              <w:rPr>
                <w:rFonts w:ascii="Arial" w:hAnsi="Arial" w:cs="Arial"/>
                <w:sz w:val="24"/>
                <w:szCs w:val="24"/>
              </w:rPr>
              <w:t>witness</w:t>
            </w:r>
            <w:r w:rsidRPr="00681267">
              <w:rPr>
                <w:rFonts w:ascii="Arial" w:hAnsi="Arial" w:cs="Arial"/>
                <w:sz w:val="24"/>
                <w:szCs w:val="24"/>
              </w:rPr>
              <w:t xml:space="preserve"> the distress these interventions caused her son, but it is also clear that she was extremely suspicious that such interventions were a ploy to have him removed from her care. She was also suspicious of medication he was prescribed as she said it </w:t>
            </w:r>
            <w:r w:rsidR="009D29A8">
              <w:rPr>
                <w:rFonts w:ascii="Arial" w:hAnsi="Arial" w:cs="Arial"/>
                <w:sz w:val="24"/>
                <w:szCs w:val="24"/>
              </w:rPr>
              <w:t>“</w:t>
            </w:r>
            <w:r w:rsidR="001C419A" w:rsidRPr="001C419A">
              <w:rPr>
                <w:rFonts w:ascii="Arial" w:hAnsi="Arial" w:cs="Arial"/>
                <w:sz w:val="24"/>
                <w:szCs w:val="24"/>
              </w:rPr>
              <w:t>drugged him up</w:t>
            </w:r>
            <w:r w:rsidR="009D29A8">
              <w:rPr>
                <w:rFonts w:ascii="Arial" w:hAnsi="Arial" w:cs="Arial"/>
                <w:sz w:val="24"/>
                <w:szCs w:val="24"/>
              </w:rPr>
              <w:t>”</w:t>
            </w:r>
            <w:r w:rsidRPr="00681267">
              <w:rPr>
                <w:rFonts w:ascii="Arial" w:hAnsi="Arial" w:cs="Arial"/>
                <w:sz w:val="24"/>
                <w:szCs w:val="24"/>
              </w:rPr>
              <w:t xml:space="preserve"> and made him sleepy.  </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BC3A2E" w:rsidRDefault="00A335EC" w:rsidP="0067158B">
            <w:pPr>
              <w:rPr>
                <w:rFonts w:ascii="Arial" w:hAnsi="Arial" w:cs="Arial"/>
                <w:sz w:val="24"/>
                <w:szCs w:val="24"/>
                <w:highlight w:val="yellow"/>
              </w:rPr>
            </w:pPr>
            <w:r w:rsidRPr="00E55D60">
              <w:rPr>
                <w:rFonts w:ascii="Arial" w:hAnsi="Arial" w:cs="Arial"/>
                <w:sz w:val="24"/>
                <w:szCs w:val="24"/>
              </w:rPr>
              <w:t>4.5</w:t>
            </w:r>
          </w:p>
        </w:tc>
        <w:tc>
          <w:tcPr>
            <w:tcW w:w="8000" w:type="dxa"/>
          </w:tcPr>
          <w:p w:rsidR="00A335EC" w:rsidRPr="00681267" w:rsidRDefault="00A335EC" w:rsidP="00D2105E">
            <w:pPr>
              <w:contextualSpacing/>
              <w:rPr>
                <w:rFonts w:ascii="Arial" w:hAnsi="Arial" w:cs="Arial"/>
                <w:sz w:val="24"/>
                <w:szCs w:val="24"/>
              </w:rPr>
            </w:pPr>
            <w:r w:rsidRPr="00681267">
              <w:rPr>
                <w:rFonts w:ascii="Arial" w:hAnsi="Arial" w:cs="Arial"/>
                <w:sz w:val="24"/>
                <w:szCs w:val="24"/>
              </w:rPr>
              <w:t>Whilst there were some areas of organisational policy and practice that w</w:t>
            </w:r>
            <w:r>
              <w:rPr>
                <w:rFonts w:ascii="Arial" w:hAnsi="Arial" w:cs="Arial"/>
                <w:sz w:val="24"/>
                <w:szCs w:val="24"/>
              </w:rPr>
              <w:t>ere</w:t>
            </w:r>
            <w:r w:rsidRPr="00681267">
              <w:rPr>
                <w:rFonts w:ascii="Arial" w:hAnsi="Arial" w:cs="Arial"/>
                <w:sz w:val="24"/>
                <w:szCs w:val="24"/>
              </w:rPr>
              <w:t xml:space="preserve"> unhelpful and potentially led to some practice that, with hindsight, could have been done differently, there were also many examples of good practice from staff</w:t>
            </w:r>
            <w:r>
              <w:rPr>
                <w:rFonts w:ascii="Arial" w:hAnsi="Arial" w:cs="Arial"/>
                <w:sz w:val="24"/>
                <w:szCs w:val="24"/>
              </w:rPr>
              <w:t xml:space="preserve">, who were constantly challenged by work with </w:t>
            </w:r>
            <w:r>
              <w:rPr>
                <w:rFonts w:ascii="Arial" w:hAnsi="Arial" w:cs="Arial"/>
                <w:sz w:val="24"/>
                <w:szCs w:val="24"/>
              </w:rPr>
              <w:lastRenderedPageBreak/>
              <w:t xml:space="preserve">this complex </w:t>
            </w:r>
            <w:r w:rsidRPr="00681267">
              <w:rPr>
                <w:rFonts w:ascii="Arial" w:hAnsi="Arial" w:cs="Arial"/>
                <w:sz w:val="24"/>
                <w:szCs w:val="24"/>
              </w:rPr>
              <w:t xml:space="preserve"> family</w:t>
            </w:r>
            <w:r w:rsidRPr="00681267">
              <w:rPr>
                <w:rFonts w:ascii="Arial" w:hAnsi="Arial" w:cs="Arial"/>
                <w:color w:val="000000"/>
                <w:sz w:val="24"/>
                <w:szCs w:val="24"/>
              </w:rPr>
              <w:t xml:space="preserve"> to balance their concerns about risk</w:t>
            </w:r>
            <w:r>
              <w:rPr>
                <w:rFonts w:ascii="Arial" w:hAnsi="Arial" w:cs="Arial"/>
                <w:color w:val="000000"/>
                <w:sz w:val="24"/>
                <w:szCs w:val="24"/>
              </w:rPr>
              <w:t>s</w:t>
            </w:r>
            <w:r w:rsidRPr="00681267">
              <w:rPr>
                <w:rFonts w:ascii="Arial" w:hAnsi="Arial" w:cs="Arial"/>
                <w:color w:val="000000"/>
                <w:sz w:val="24"/>
                <w:szCs w:val="24"/>
              </w:rPr>
              <w:t xml:space="preserve"> to </w:t>
            </w:r>
            <w:r>
              <w:rPr>
                <w:rFonts w:ascii="Arial" w:hAnsi="Arial" w:cs="Arial"/>
                <w:color w:val="000000"/>
                <w:sz w:val="24"/>
                <w:szCs w:val="24"/>
              </w:rPr>
              <w:t>Edward</w:t>
            </w:r>
            <w:r w:rsidRPr="00681267">
              <w:rPr>
                <w:rFonts w:ascii="Arial" w:hAnsi="Arial" w:cs="Arial"/>
                <w:color w:val="000000"/>
                <w:sz w:val="24"/>
                <w:szCs w:val="24"/>
              </w:rPr>
              <w:t xml:space="preserve">, with </w:t>
            </w:r>
            <w:r>
              <w:rPr>
                <w:rFonts w:ascii="Arial" w:hAnsi="Arial" w:cs="Arial"/>
                <w:color w:val="000000"/>
                <w:sz w:val="24"/>
                <w:szCs w:val="24"/>
              </w:rPr>
              <w:t>Edward’s mum</w:t>
            </w:r>
            <w:r w:rsidRPr="00681267">
              <w:rPr>
                <w:rFonts w:ascii="Arial" w:hAnsi="Arial" w:cs="Arial"/>
                <w:color w:val="000000"/>
                <w:sz w:val="24"/>
                <w:szCs w:val="24"/>
              </w:rPr>
              <w:t xml:space="preserve">’s </w:t>
            </w:r>
            <w:r>
              <w:rPr>
                <w:rFonts w:ascii="Arial" w:hAnsi="Arial" w:cs="Arial"/>
                <w:color w:val="000000"/>
                <w:sz w:val="24"/>
                <w:szCs w:val="24"/>
              </w:rPr>
              <w:t xml:space="preserve">very strongly expressed </w:t>
            </w:r>
            <w:r w:rsidRPr="00681267">
              <w:rPr>
                <w:rFonts w:ascii="Arial" w:hAnsi="Arial" w:cs="Arial"/>
                <w:color w:val="000000"/>
                <w:sz w:val="24"/>
                <w:szCs w:val="24"/>
              </w:rPr>
              <w:t xml:space="preserve">wishes </w:t>
            </w:r>
            <w:r>
              <w:rPr>
                <w:rFonts w:ascii="Arial" w:hAnsi="Arial" w:cs="Arial"/>
                <w:color w:val="000000"/>
                <w:sz w:val="24"/>
                <w:szCs w:val="24"/>
              </w:rPr>
              <w:t>that she would care in her own way for the</w:t>
            </w:r>
            <w:r w:rsidRPr="00681267">
              <w:rPr>
                <w:rFonts w:ascii="Arial" w:hAnsi="Arial" w:cs="Arial"/>
                <w:color w:val="000000"/>
                <w:sz w:val="24"/>
                <w:szCs w:val="24"/>
              </w:rPr>
              <w:t xml:space="preserve"> son she had </w:t>
            </w:r>
            <w:r>
              <w:rPr>
                <w:rFonts w:ascii="Arial" w:hAnsi="Arial" w:cs="Arial"/>
                <w:color w:val="000000"/>
                <w:sz w:val="24"/>
                <w:szCs w:val="24"/>
              </w:rPr>
              <w:t xml:space="preserve">loved and </w:t>
            </w:r>
            <w:r w:rsidR="009D29A8">
              <w:rPr>
                <w:rFonts w:ascii="Arial" w:hAnsi="Arial" w:cs="Arial"/>
                <w:color w:val="000000"/>
                <w:sz w:val="24"/>
                <w:szCs w:val="24"/>
              </w:rPr>
              <w:t>“</w:t>
            </w:r>
            <w:r>
              <w:rPr>
                <w:rFonts w:ascii="Arial" w:hAnsi="Arial" w:cs="Arial"/>
                <w:color w:val="000000"/>
                <w:sz w:val="24"/>
                <w:szCs w:val="24"/>
              </w:rPr>
              <w:t>protected</w:t>
            </w:r>
            <w:r w:rsidR="009D29A8">
              <w:rPr>
                <w:rFonts w:ascii="Arial" w:hAnsi="Arial" w:cs="Arial"/>
                <w:color w:val="000000"/>
                <w:sz w:val="24"/>
                <w:szCs w:val="24"/>
              </w:rPr>
              <w:t>”</w:t>
            </w:r>
            <w:r>
              <w:rPr>
                <w:rFonts w:ascii="Arial" w:hAnsi="Arial" w:cs="Arial"/>
                <w:color w:val="000000"/>
                <w:sz w:val="24"/>
                <w:szCs w:val="24"/>
              </w:rPr>
              <w:t xml:space="preserve"> for</w:t>
            </w:r>
            <w:r w:rsidRPr="00681267">
              <w:rPr>
                <w:rFonts w:ascii="Arial" w:hAnsi="Arial" w:cs="Arial"/>
                <w:color w:val="000000"/>
                <w:sz w:val="24"/>
                <w:szCs w:val="24"/>
              </w:rPr>
              <w:t xml:space="preserve"> 51 years</w:t>
            </w:r>
          </w:p>
          <w:p w:rsidR="00A335EC" w:rsidRPr="00681267" w:rsidRDefault="00A335EC" w:rsidP="00D2105E">
            <w:pPr>
              <w:contextualSpacing/>
              <w:rPr>
                <w:rFonts w:ascii="Arial" w:hAnsi="Arial" w:cs="Arial"/>
                <w:sz w:val="24"/>
                <w:szCs w:val="24"/>
              </w:rPr>
            </w:pPr>
            <w:r w:rsidRPr="00681267">
              <w:rPr>
                <w:rFonts w:ascii="Arial" w:hAnsi="Arial" w:cs="Arial"/>
                <w:sz w:val="24"/>
                <w:szCs w:val="24"/>
              </w:rPr>
              <w:t>Th</w:t>
            </w:r>
            <w:r>
              <w:rPr>
                <w:rFonts w:ascii="Arial" w:hAnsi="Arial" w:cs="Arial"/>
                <w:sz w:val="24"/>
                <w:szCs w:val="24"/>
              </w:rPr>
              <w:t>i</w:t>
            </w:r>
            <w:r w:rsidRPr="00681267">
              <w:rPr>
                <w:rFonts w:ascii="Arial" w:hAnsi="Arial" w:cs="Arial"/>
                <w:sz w:val="24"/>
                <w:szCs w:val="24"/>
              </w:rPr>
              <w:t>s</w:t>
            </w:r>
            <w:r>
              <w:rPr>
                <w:rFonts w:ascii="Arial" w:hAnsi="Arial" w:cs="Arial"/>
                <w:sz w:val="24"/>
                <w:szCs w:val="24"/>
              </w:rPr>
              <w:t xml:space="preserve"> good practice</w:t>
            </w:r>
            <w:r w:rsidRPr="00681267">
              <w:rPr>
                <w:rFonts w:ascii="Arial" w:hAnsi="Arial" w:cs="Arial"/>
                <w:sz w:val="24"/>
                <w:szCs w:val="24"/>
              </w:rPr>
              <w:t xml:space="preserve"> included: </w:t>
            </w:r>
          </w:p>
          <w:p w:rsidR="00A335EC" w:rsidRPr="00681267" w:rsidRDefault="00A335EC" w:rsidP="00D2105E">
            <w:pPr>
              <w:pStyle w:val="ListParagraph"/>
              <w:numPr>
                <w:ilvl w:val="0"/>
                <w:numId w:val="14"/>
              </w:numPr>
              <w:contextualSpacing/>
            </w:pPr>
            <w:r w:rsidRPr="00681267">
              <w:t xml:space="preserve">Tenacity and commitment by the </w:t>
            </w:r>
            <w:r>
              <w:t xml:space="preserve">long standing </w:t>
            </w:r>
            <w:r w:rsidRPr="00681267">
              <w:t>social worker who acknowledged her dilemma as a social worker and her employer’s requirements when there was no cooperation and no assessed high risk</w:t>
            </w:r>
            <w:r>
              <w:t>,</w:t>
            </w:r>
            <w:r w:rsidRPr="00681267">
              <w:t xml:space="preserve"> “to close the case”</w:t>
            </w:r>
          </w:p>
          <w:p w:rsidR="00A335EC" w:rsidRPr="00681267" w:rsidRDefault="009D29A8" w:rsidP="00D2105E">
            <w:pPr>
              <w:pStyle w:val="ListParagraph"/>
              <w:numPr>
                <w:ilvl w:val="0"/>
                <w:numId w:val="14"/>
              </w:numPr>
              <w:contextualSpacing/>
            </w:pPr>
            <w:r>
              <w:t>“</w:t>
            </w:r>
            <w:r w:rsidR="00A335EC" w:rsidRPr="00681267">
              <w:t>Defence</w:t>
            </w:r>
            <w:r>
              <w:t>”</w:t>
            </w:r>
            <w:r w:rsidR="00A335EC" w:rsidRPr="00681267">
              <w:t xml:space="preserve"> by the social worker of the family and explanation why some family members appeared rude and aggressive to new professional contacts</w:t>
            </w:r>
          </w:p>
          <w:p w:rsidR="00A335EC" w:rsidRPr="00681267" w:rsidRDefault="00A335EC" w:rsidP="00D2105E">
            <w:pPr>
              <w:pStyle w:val="ListParagraph"/>
              <w:numPr>
                <w:ilvl w:val="0"/>
                <w:numId w:val="14"/>
              </w:numPr>
              <w:contextualSpacing/>
            </w:pPr>
            <w:r w:rsidRPr="00681267">
              <w:t>Holding safeguarding and multi-disciplinary meetings to share information and drive action</w:t>
            </w:r>
          </w:p>
          <w:p w:rsidR="00A335EC" w:rsidRPr="00681267" w:rsidRDefault="00A335EC" w:rsidP="00D2105E">
            <w:pPr>
              <w:pStyle w:val="ListParagraph"/>
              <w:numPr>
                <w:ilvl w:val="0"/>
                <w:numId w:val="14"/>
              </w:numPr>
              <w:contextualSpacing/>
            </w:pPr>
            <w:r w:rsidRPr="00681267">
              <w:t>Escalation to a LCC Legal Panel when the social worker needed guidance in the complex area of when a case might need involvement of the Court of Protection</w:t>
            </w:r>
          </w:p>
          <w:p w:rsidR="00A335EC" w:rsidRPr="00681267" w:rsidRDefault="00A335EC" w:rsidP="00D2105E">
            <w:pPr>
              <w:pStyle w:val="ListParagraph"/>
              <w:numPr>
                <w:ilvl w:val="0"/>
                <w:numId w:val="14"/>
              </w:numPr>
              <w:contextualSpacing/>
            </w:pPr>
            <w:r w:rsidRPr="00681267">
              <w:t xml:space="preserve">The existence of such a Panel that could be accessed by frontline staff, even if some flaws </w:t>
            </w:r>
            <w:r>
              <w:t xml:space="preserve">in practice </w:t>
            </w:r>
            <w:r w:rsidRPr="00681267">
              <w:t>were revealed in this case</w:t>
            </w:r>
          </w:p>
          <w:p w:rsidR="00A335EC" w:rsidRDefault="00A335EC" w:rsidP="00382B64">
            <w:pPr>
              <w:pStyle w:val="ListParagraph"/>
              <w:numPr>
                <w:ilvl w:val="0"/>
                <w:numId w:val="14"/>
              </w:numPr>
              <w:contextualSpacing/>
            </w:pPr>
            <w:r w:rsidRPr="00681267">
              <w:t>Good commitment to the family by the GP and a preparedness to work in partnership with other professionals</w:t>
            </w:r>
          </w:p>
          <w:p w:rsidR="00A335EC" w:rsidRDefault="00A335EC" w:rsidP="00382B64">
            <w:pPr>
              <w:pStyle w:val="ListParagraph"/>
              <w:numPr>
                <w:ilvl w:val="0"/>
                <w:numId w:val="14"/>
              </w:numPr>
              <w:contextualSpacing/>
            </w:pPr>
            <w:r w:rsidRPr="00681267">
              <w:t xml:space="preserve">Tenacity and detailed planning by the Mersey Care LD nurse to get sensitive support for </w:t>
            </w:r>
            <w:r>
              <w:t>Edward</w:t>
            </w:r>
            <w:r w:rsidRPr="00681267">
              <w:t xml:space="preserve"> to access hospital diagnostic</w:t>
            </w:r>
            <w:r>
              <w:t xml:space="preserve"> tests</w:t>
            </w:r>
          </w:p>
          <w:p w:rsidR="00A335EC" w:rsidRPr="00681267" w:rsidRDefault="00A335EC" w:rsidP="00382B64">
            <w:pPr>
              <w:pStyle w:val="ListParagraph"/>
              <w:numPr>
                <w:ilvl w:val="0"/>
                <w:numId w:val="14"/>
              </w:numPr>
              <w:contextualSpacing/>
            </w:pPr>
            <w:r w:rsidRPr="00681267">
              <w:t xml:space="preserve">Good partnership and sensitive work by staff from the NW Ambulance Trust to get </w:t>
            </w:r>
            <w:r>
              <w:t>Edward</w:t>
            </w:r>
            <w:r w:rsidRPr="00681267">
              <w:t xml:space="preserve"> to hospital</w:t>
            </w:r>
          </w:p>
          <w:p w:rsidR="00A335EC" w:rsidRPr="00681267" w:rsidRDefault="00A335EC" w:rsidP="00382B64">
            <w:pPr>
              <w:pStyle w:val="ListParagraph"/>
              <w:numPr>
                <w:ilvl w:val="0"/>
                <w:numId w:val="14"/>
              </w:numPr>
              <w:contextualSpacing/>
            </w:pPr>
            <w:r w:rsidRPr="00681267">
              <w:t xml:space="preserve">Good follow up by Merseyside police </w:t>
            </w:r>
            <w:r>
              <w:t xml:space="preserve">officers </w:t>
            </w:r>
            <w:r w:rsidRPr="00681267">
              <w:t>following ASB referrals</w:t>
            </w:r>
          </w:p>
          <w:p w:rsidR="00A335EC" w:rsidRPr="00E55D60" w:rsidRDefault="00A335EC" w:rsidP="00382B64">
            <w:pPr>
              <w:pStyle w:val="ListParagraph"/>
              <w:numPr>
                <w:ilvl w:val="0"/>
                <w:numId w:val="14"/>
              </w:numPr>
              <w:contextualSpacing/>
              <w:rPr>
                <w:b/>
              </w:rPr>
            </w:pPr>
            <w:r w:rsidRPr="00681267">
              <w:t>Prompt action, and good assessment to enable the family to move house, even if advice was not taken</w:t>
            </w:r>
            <w:r>
              <w:t xml:space="preserve"> by Edward’s mum about her son’s</w:t>
            </w:r>
            <w:r w:rsidRPr="00681267">
              <w:t xml:space="preserve"> accessibility needs</w:t>
            </w:r>
          </w:p>
          <w:p w:rsidR="00E55D60" w:rsidRPr="00681267" w:rsidRDefault="00E55D60" w:rsidP="00E55D60">
            <w:pPr>
              <w:pStyle w:val="ListParagraph"/>
              <w:contextualSpacing/>
              <w:rPr>
                <w:b/>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lastRenderedPageBreak/>
              <w:t>4.6</w:t>
            </w:r>
          </w:p>
        </w:tc>
        <w:tc>
          <w:tcPr>
            <w:tcW w:w="8000" w:type="dxa"/>
          </w:tcPr>
          <w:p w:rsidR="00A335EC" w:rsidRPr="00446A42" w:rsidRDefault="00A335EC" w:rsidP="00C8642D">
            <w:pPr>
              <w:rPr>
                <w:rFonts w:ascii="Arial" w:hAnsi="Arial" w:cs="Arial"/>
                <w:sz w:val="24"/>
                <w:szCs w:val="24"/>
              </w:rPr>
            </w:pPr>
            <w:r w:rsidRPr="00446A42">
              <w:rPr>
                <w:rFonts w:ascii="Arial" w:hAnsi="Arial" w:cs="Arial"/>
                <w:sz w:val="24"/>
                <w:szCs w:val="24"/>
              </w:rPr>
              <w:t>As part of the research for this Review the Confidential Inquiry into premature deaths of people with learning disabilities</w:t>
            </w:r>
            <w:r w:rsidR="009D29A8">
              <w:rPr>
                <w:rFonts w:ascii="Arial" w:hAnsi="Arial" w:cs="Arial"/>
                <w:sz w:val="24"/>
                <w:szCs w:val="24"/>
              </w:rPr>
              <w:t>,</w:t>
            </w:r>
            <w:r w:rsidRPr="00446A42">
              <w:rPr>
                <w:rFonts w:ascii="Arial" w:hAnsi="Arial" w:cs="Arial"/>
                <w:sz w:val="24"/>
                <w:szCs w:val="24"/>
              </w:rPr>
              <w:t xml:space="preserve"> CIPOLD</w:t>
            </w:r>
            <w:r w:rsidRPr="00446A42">
              <w:rPr>
                <w:rStyle w:val="FootnoteReference"/>
                <w:rFonts w:ascii="Arial" w:hAnsi="Arial" w:cs="Arial"/>
                <w:sz w:val="24"/>
                <w:szCs w:val="24"/>
              </w:rPr>
              <w:footnoteReference w:id="8"/>
            </w:r>
            <w:r w:rsidRPr="00446A42">
              <w:rPr>
                <w:rFonts w:ascii="Arial" w:hAnsi="Arial" w:cs="Arial"/>
                <w:sz w:val="24"/>
                <w:szCs w:val="24"/>
              </w:rPr>
              <w:t xml:space="preserve"> </w:t>
            </w:r>
            <w:r w:rsidR="00A05D3E">
              <w:rPr>
                <w:rFonts w:ascii="Arial" w:hAnsi="Arial" w:cs="Arial"/>
                <w:sz w:val="24"/>
                <w:szCs w:val="24"/>
              </w:rPr>
              <w:t xml:space="preserve">was </w:t>
            </w:r>
            <w:r w:rsidR="009D29A8">
              <w:rPr>
                <w:rFonts w:ascii="Arial" w:hAnsi="Arial" w:cs="Arial"/>
                <w:sz w:val="24"/>
                <w:szCs w:val="24"/>
              </w:rPr>
              <w:t>reviewed</w:t>
            </w:r>
            <w:r w:rsidR="00A05D3E">
              <w:rPr>
                <w:rFonts w:ascii="Arial" w:hAnsi="Arial" w:cs="Arial"/>
                <w:sz w:val="24"/>
                <w:szCs w:val="24"/>
              </w:rPr>
              <w:t>.</w:t>
            </w:r>
            <w:r w:rsidRPr="00446A42">
              <w:rPr>
                <w:rFonts w:ascii="Arial" w:hAnsi="Arial" w:cs="Arial"/>
                <w:sz w:val="24"/>
                <w:szCs w:val="24"/>
              </w:rPr>
              <w:t xml:space="preserve"> </w:t>
            </w:r>
            <w:r w:rsidR="009D29A8">
              <w:rPr>
                <w:rFonts w:ascii="Arial" w:hAnsi="Arial" w:cs="Arial"/>
                <w:sz w:val="24"/>
                <w:szCs w:val="24"/>
              </w:rPr>
              <w:t>CIPOLD</w:t>
            </w:r>
            <w:r w:rsidRPr="00446A42">
              <w:rPr>
                <w:rFonts w:ascii="Arial" w:hAnsi="Arial" w:cs="Arial"/>
                <w:sz w:val="24"/>
                <w:szCs w:val="24"/>
              </w:rPr>
              <w:t xml:space="preserve"> revisits the issues of the causes and reasons of premature deaths. It identifies that the “median age of death for people with learning disabilities (65 years for men; 63 years for women) was significantly lower than for the UK population of 78 years for men and 83 years for women. Overall, 22% were under the age of 50 when they died”. </w:t>
            </w:r>
          </w:p>
          <w:p w:rsidR="00A335EC" w:rsidRPr="00446A42" w:rsidRDefault="00A335EC" w:rsidP="00C8642D">
            <w:pPr>
              <w:rPr>
                <w:rFonts w:ascii="Arial" w:hAnsi="Arial" w:cs="Arial"/>
                <w:color w:val="000000"/>
                <w:sz w:val="24"/>
                <w:szCs w:val="24"/>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t>4.7</w:t>
            </w:r>
          </w:p>
        </w:tc>
        <w:tc>
          <w:tcPr>
            <w:tcW w:w="8000" w:type="dxa"/>
          </w:tcPr>
          <w:p w:rsidR="00A335EC" w:rsidRPr="00681267" w:rsidRDefault="00A335EC" w:rsidP="00C8642D">
            <w:pPr>
              <w:rPr>
                <w:rFonts w:ascii="Arial" w:hAnsi="Arial" w:cs="Arial"/>
                <w:sz w:val="24"/>
                <w:szCs w:val="24"/>
              </w:rPr>
            </w:pPr>
            <w:r w:rsidRPr="00681267">
              <w:rPr>
                <w:rFonts w:ascii="Arial" w:hAnsi="Arial" w:cs="Arial"/>
                <w:sz w:val="24"/>
                <w:szCs w:val="24"/>
              </w:rPr>
              <w:t xml:space="preserve">Some of the good practice recommended by the authors of </w:t>
            </w:r>
            <w:r>
              <w:rPr>
                <w:rFonts w:ascii="Arial" w:hAnsi="Arial" w:cs="Arial"/>
                <w:sz w:val="24"/>
                <w:szCs w:val="24"/>
              </w:rPr>
              <w:t>the CIPOLD report</w:t>
            </w:r>
            <w:r w:rsidRPr="00681267">
              <w:rPr>
                <w:rFonts w:ascii="Arial" w:hAnsi="Arial" w:cs="Arial"/>
                <w:sz w:val="24"/>
                <w:szCs w:val="24"/>
              </w:rPr>
              <w:t xml:space="preserve"> as potentially bringing about greater equality of outcome for learning disabled people is visible in </w:t>
            </w:r>
            <w:r>
              <w:rPr>
                <w:rFonts w:ascii="Arial" w:hAnsi="Arial" w:cs="Arial"/>
                <w:sz w:val="24"/>
                <w:szCs w:val="24"/>
              </w:rPr>
              <w:t>the work in Liverpool.</w:t>
            </w:r>
          </w:p>
          <w:p w:rsidR="00A335EC" w:rsidRPr="00681267" w:rsidRDefault="00A335EC" w:rsidP="00C8642D">
            <w:pPr>
              <w:rPr>
                <w:rFonts w:ascii="Arial" w:hAnsi="Arial" w:cs="Arial"/>
                <w:sz w:val="24"/>
                <w:szCs w:val="24"/>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t>4.8</w:t>
            </w:r>
          </w:p>
        </w:tc>
        <w:tc>
          <w:tcPr>
            <w:tcW w:w="8000" w:type="dxa"/>
          </w:tcPr>
          <w:p w:rsidR="00A335EC" w:rsidRPr="00681267" w:rsidRDefault="00A335EC" w:rsidP="00C8642D">
            <w:pPr>
              <w:contextualSpacing/>
              <w:rPr>
                <w:rFonts w:ascii="Arial" w:hAnsi="Arial" w:cs="Arial"/>
                <w:sz w:val="24"/>
                <w:szCs w:val="24"/>
              </w:rPr>
            </w:pPr>
            <w:r>
              <w:rPr>
                <w:rFonts w:ascii="Arial" w:hAnsi="Arial" w:cs="Arial"/>
                <w:sz w:val="24"/>
                <w:szCs w:val="24"/>
              </w:rPr>
              <w:t xml:space="preserve">In </w:t>
            </w:r>
            <w:r w:rsidRPr="00681267">
              <w:rPr>
                <w:rFonts w:ascii="Arial" w:hAnsi="Arial" w:cs="Arial"/>
                <w:sz w:val="24"/>
                <w:szCs w:val="24"/>
              </w:rPr>
              <w:t xml:space="preserve">considering areas where practice might have been done differently </w:t>
            </w:r>
            <w:r>
              <w:rPr>
                <w:rFonts w:ascii="Arial" w:hAnsi="Arial" w:cs="Arial"/>
                <w:sz w:val="24"/>
                <w:szCs w:val="24"/>
              </w:rPr>
              <w:t xml:space="preserve">it is necessary to take into account the </w:t>
            </w:r>
            <w:r w:rsidR="00E55D60">
              <w:rPr>
                <w:rFonts w:ascii="Arial" w:hAnsi="Arial" w:cs="Arial"/>
                <w:sz w:val="24"/>
                <w:szCs w:val="24"/>
              </w:rPr>
              <w:t xml:space="preserve">family </w:t>
            </w:r>
            <w:r>
              <w:rPr>
                <w:rFonts w:ascii="Arial" w:hAnsi="Arial" w:cs="Arial"/>
                <w:sz w:val="24"/>
                <w:szCs w:val="24"/>
              </w:rPr>
              <w:t>context and belief</w:t>
            </w:r>
            <w:r w:rsidR="00E55D60">
              <w:rPr>
                <w:rFonts w:ascii="Arial" w:hAnsi="Arial" w:cs="Arial"/>
                <w:sz w:val="24"/>
                <w:szCs w:val="24"/>
              </w:rPr>
              <w:t>s as well as</w:t>
            </w:r>
            <w:r>
              <w:rPr>
                <w:rFonts w:ascii="Arial" w:hAnsi="Arial" w:cs="Arial"/>
                <w:sz w:val="24"/>
                <w:szCs w:val="24"/>
              </w:rPr>
              <w:t xml:space="preserve"> </w:t>
            </w:r>
            <w:r>
              <w:rPr>
                <w:rFonts w:ascii="Arial" w:hAnsi="Arial" w:cs="Arial"/>
                <w:sz w:val="24"/>
                <w:szCs w:val="24"/>
              </w:rPr>
              <w:lastRenderedPageBreak/>
              <w:t xml:space="preserve">the </w:t>
            </w:r>
            <w:r w:rsidR="00E55D60">
              <w:rPr>
                <w:rFonts w:ascii="Arial" w:hAnsi="Arial" w:cs="Arial"/>
                <w:sz w:val="24"/>
                <w:szCs w:val="24"/>
              </w:rPr>
              <w:t xml:space="preserve">sometimes conflicting expectations </w:t>
            </w:r>
            <w:r>
              <w:rPr>
                <w:rFonts w:ascii="Arial" w:hAnsi="Arial" w:cs="Arial"/>
                <w:sz w:val="24"/>
                <w:szCs w:val="24"/>
              </w:rPr>
              <w:t xml:space="preserve">of </w:t>
            </w:r>
            <w:r w:rsidR="00E55D60">
              <w:rPr>
                <w:rFonts w:ascii="Arial" w:hAnsi="Arial" w:cs="Arial"/>
                <w:sz w:val="24"/>
                <w:szCs w:val="24"/>
              </w:rPr>
              <w:t xml:space="preserve">our </w:t>
            </w:r>
            <w:r>
              <w:rPr>
                <w:rFonts w:ascii="Arial" w:hAnsi="Arial" w:cs="Arial"/>
                <w:sz w:val="24"/>
                <w:szCs w:val="24"/>
              </w:rPr>
              <w:t xml:space="preserve">society </w:t>
            </w:r>
            <w:r w:rsidR="00E55D60">
              <w:rPr>
                <w:rFonts w:ascii="Arial" w:hAnsi="Arial" w:cs="Arial"/>
                <w:sz w:val="24"/>
                <w:szCs w:val="24"/>
              </w:rPr>
              <w:t>about family carers of disabled adults.</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lastRenderedPageBreak/>
              <w:t>4.9</w:t>
            </w:r>
          </w:p>
        </w:tc>
        <w:tc>
          <w:tcPr>
            <w:tcW w:w="8000" w:type="dxa"/>
          </w:tcPr>
          <w:p w:rsidR="00A335EC" w:rsidRDefault="00A335EC" w:rsidP="002232DA">
            <w:pPr>
              <w:contextualSpacing/>
              <w:rPr>
                <w:rFonts w:ascii="Arial" w:hAnsi="Arial" w:cs="Arial"/>
                <w:sz w:val="24"/>
                <w:szCs w:val="24"/>
              </w:rPr>
            </w:pPr>
            <w:r w:rsidRPr="00681267">
              <w:rPr>
                <w:rFonts w:ascii="Arial" w:hAnsi="Arial" w:cs="Arial"/>
                <w:sz w:val="24"/>
                <w:szCs w:val="24"/>
              </w:rPr>
              <w:t xml:space="preserve">In the meeting with </w:t>
            </w:r>
            <w:r>
              <w:rPr>
                <w:rFonts w:ascii="Arial" w:hAnsi="Arial" w:cs="Arial"/>
                <w:sz w:val="24"/>
                <w:szCs w:val="24"/>
              </w:rPr>
              <w:t>Edward’s mum</w:t>
            </w:r>
            <w:r w:rsidRPr="00681267">
              <w:rPr>
                <w:rFonts w:ascii="Arial" w:hAnsi="Arial" w:cs="Arial"/>
                <w:sz w:val="24"/>
                <w:szCs w:val="24"/>
              </w:rPr>
              <w:t xml:space="preserve"> and her daughter and their advocate, </w:t>
            </w:r>
            <w:r>
              <w:rPr>
                <w:rFonts w:ascii="Arial" w:hAnsi="Arial" w:cs="Arial"/>
                <w:sz w:val="24"/>
                <w:szCs w:val="24"/>
              </w:rPr>
              <w:t>Edward’s mum</w:t>
            </w:r>
            <w:r w:rsidRPr="00681267">
              <w:rPr>
                <w:rFonts w:ascii="Arial" w:hAnsi="Arial" w:cs="Arial"/>
                <w:sz w:val="24"/>
                <w:szCs w:val="24"/>
              </w:rPr>
              <w:t xml:space="preserve"> described a significant </w:t>
            </w:r>
            <w:r w:rsidR="00CB2864">
              <w:rPr>
                <w:rFonts w:ascii="Arial" w:hAnsi="Arial" w:cs="Arial"/>
                <w:sz w:val="24"/>
                <w:szCs w:val="24"/>
              </w:rPr>
              <w:t>“</w:t>
            </w:r>
            <w:r>
              <w:rPr>
                <w:rFonts w:ascii="Arial" w:hAnsi="Arial" w:cs="Arial"/>
                <w:sz w:val="24"/>
                <w:szCs w:val="24"/>
              </w:rPr>
              <w:t>spiritual</w:t>
            </w:r>
            <w:r w:rsidR="00CB2864">
              <w:rPr>
                <w:rFonts w:ascii="Arial" w:hAnsi="Arial" w:cs="Arial"/>
                <w:sz w:val="24"/>
                <w:szCs w:val="24"/>
              </w:rPr>
              <w:t>”</w:t>
            </w:r>
            <w:r>
              <w:rPr>
                <w:rFonts w:ascii="Arial" w:hAnsi="Arial" w:cs="Arial"/>
                <w:sz w:val="24"/>
                <w:szCs w:val="24"/>
              </w:rPr>
              <w:t xml:space="preserve"> </w:t>
            </w:r>
            <w:r w:rsidRPr="00681267">
              <w:rPr>
                <w:rFonts w:ascii="Arial" w:hAnsi="Arial" w:cs="Arial"/>
                <w:sz w:val="24"/>
                <w:szCs w:val="24"/>
              </w:rPr>
              <w:t xml:space="preserve">event when </w:t>
            </w:r>
            <w:r>
              <w:rPr>
                <w:rFonts w:ascii="Arial" w:hAnsi="Arial" w:cs="Arial"/>
                <w:sz w:val="24"/>
                <w:szCs w:val="24"/>
              </w:rPr>
              <w:t>Edward</w:t>
            </w:r>
            <w:r w:rsidRPr="00681267">
              <w:rPr>
                <w:rFonts w:ascii="Arial" w:hAnsi="Arial" w:cs="Arial"/>
                <w:sz w:val="24"/>
                <w:szCs w:val="24"/>
              </w:rPr>
              <w:t xml:space="preserve"> was about 9 years old. She said that this event had affected </w:t>
            </w:r>
            <w:r>
              <w:rPr>
                <w:rFonts w:ascii="Arial" w:hAnsi="Arial" w:cs="Arial"/>
                <w:sz w:val="24"/>
                <w:szCs w:val="24"/>
              </w:rPr>
              <w:t xml:space="preserve">his and </w:t>
            </w:r>
            <w:r w:rsidRPr="00681267">
              <w:rPr>
                <w:rFonts w:ascii="Arial" w:hAnsi="Arial" w:cs="Arial"/>
                <w:sz w:val="24"/>
                <w:szCs w:val="24"/>
              </w:rPr>
              <w:t xml:space="preserve">her whole life. </w:t>
            </w:r>
          </w:p>
          <w:p w:rsidR="00A335EC" w:rsidRPr="00681267" w:rsidRDefault="00A335EC" w:rsidP="002232DA">
            <w:pPr>
              <w:contextualSpacing/>
              <w:rPr>
                <w:rFonts w:ascii="Arial" w:hAnsi="Arial" w:cs="Arial"/>
                <w:sz w:val="24"/>
                <w:szCs w:val="24"/>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t>4.10</w:t>
            </w:r>
          </w:p>
        </w:tc>
        <w:tc>
          <w:tcPr>
            <w:tcW w:w="8000" w:type="dxa"/>
          </w:tcPr>
          <w:p w:rsidR="00A335EC" w:rsidRDefault="00A335EC" w:rsidP="000A0BF8">
            <w:pPr>
              <w:rPr>
                <w:rFonts w:ascii="Arial" w:hAnsi="Arial" w:cs="Arial"/>
                <w:sz w:val="24"/>
                <w:szCs w:val="24"/>
              </w:rPr>
            </w:pPr>
            <w:r>
              <w:rPr>
                <w:rFonts w:ascii="Arial" w:hAnsi="Arial" w:cs="Arial"/>
                <w:sz w:val="24"/>
                <w:szCs w:val="24"/>
              </w:rPr>
              <w:t xml:space="preserve">This, and subsequent events led her to believe that she had to take direct care </w:t>
            </w:r>
            <w:r w:rsidRPr="00681267">
              <w:rPr>
                <w:rFonts w:ascii="Arial" w:hAnsi="Arial" w:cs="Arial"/>
                <w:sz w:val="24"/>
                <w:szCs w:val="24"/>
              </w:rPr>
              <w:t xml:space="preserve">of </w:t>
            </w:r>
            <w:r>
              <w:rPr>
                <w:rFonts w:ascii="Arial" w:hAnsi="Arial" w:cs="Arial"/>
                <w:sz w:val="24"/>
                <w:szCs w:val="24"/>
              </w:rPr>
              <w:t>Edward</w:t>
            </w:r>
            <w:r w:rsidRPr="00681267">
              <w:rPr>
                <w:rFonts w:ascii="Arial" w:hAnsi="Arial" w:cs="Arial"/>
                <w:sz w:val="24"/>
                <w:szCs w:val="24"/>
              </w:rPr>
              <w:t xml:space="preserve"> herself. It seems that she, therefore, identified offers of support</w:t>
            </w:r>
            <w:r w:rsidR="00CB2864">
              <w:rPr>
                <w:rFonts w:ascii="Arial" w:hAnsi="Arial" w:cs="Arial"/>
                <w:sz w:val="24"/>
                <w:szCs w:val="24"/>
              </w:rPr>
              <w:t>,</w:t>
            </w:r>
            <w:r w:rsidRPr="00681267">
              <w:rPr>
                <w:rFonts w:ascii="Arial" w:hAnsi="Arial" w:cs="Arial"/>
                <w:sz w:val="24"/>
                <w:szCs w:val="24"/>
              </w:rPr>
              <w:t xml:space="preserve"> including what she </w:t>
            </w:r>
            <w:r>
              <w:rPr>
                <w:rFonts w:ascii="Arial" w:hAnsi="Arial" w:cs="Arial"/>
                <w:sz w:val="24"/>
                <w:szCs w:val="24"/>
              </w:rPr>
              <w:t>suspected</w:t>
            </w:r>
            <w:r w:rsidRPr="00681267">
              <w:rPr>
                <w:rFonts w:ascii="Arial" w:hAnsi="Arial" w:cs="Arial"/>
                <w:sz w:val="24"/>
                <w:szCs w:val="24"/>
              </w:rPr>
              <w:t xml:space="preserve"> as unnecessary health interventions</w:t>
            </w:r>
            <w:r w:rsidR="00CB2864">
              <w:rPr>
                <w:rFonts w:ascii="Arial" w:hAnsi="Arial" w:cs="Arial"/>
                <w:sz w:val="24"/>
                <w:szCs w:val="24"/>
              </w:rPr>
              <w:t>,</w:t>
            </w:r>
            <w:r w:rsidRPr="00681267">
              <w:rPr>
                <w:rFonts w:ascii="Arial" w:hAnsi="Arial" w:cs="Arial"/>
                <w:sz w:val="24"/>
                <w:szCs w:val="24"/>
              </w:rPr>
              <w:t xml:space="preserve"> as </w:t>
            </w:r>
            <w:r>
              <w:rPr>
                <w:rFonts w:ascii="Arial" w:hAnsi="Arial" w:cs="Arial"/>
                <w:sz w:val="24"/>
                <w:szCs w:val="24"/>
              </w:rPr>
              <w:t xml:space="preserve">having a harmful motivation and </w:t>
            </w:r>
            <w:r w:rsidRPr="00681267">
              <w:rPr>
                <w:rFonts w:ascii="Arial" w:hAnsi="Arial" w:cs="Arial"/>
                <w:sz w:val="24"/>
                <w:szCs w:val="24"/>
              </w:rPr>
              <w:t xml:space="preserve">interfering in her </w:t>
            </w:r>
            <w:r w:rsidR="00CB2864">
              <w:rPr>
                <w:rFonts w:ascii="Arial" w:hAnsi="Arial" w:cs="Arial"/>
                <w:sz w:val="24"/>
                <w:szCs w:val="24"/>
              </w:rPr>
              <w:t>“</w:t>
            </w:r>
            <w:r w:rsidRPr="00681267">
              <w:rPr>
                <w:rFonts w:ascii="Arial" w:hAnsi="Arial" w:cs="Arial"/>
                <w:sz w:val="24"/>
                <w:szCs w:val="24"/>
              </w:rPr>
              <w:t>purpose</w:t>
            </w:r>
            <w:r w:rsidR="00CB2864">
              <w:rPr>
                <w:rFonts w:ascii="Arial" w:hAnsi="Arial" w:cs="Arial"/>
                <w:sz w:val="24"/>
                <w:szCs w:val="24"/>
              </w:rPr>
              <w:t>”</w:t>
            </w:r>
            <w:r w:rsidRPr="00681267">
              <w:rPr>
                <w:rFonts w:ascii="Arial" w:hAnsi="Arial" w:cs="Arial"/>
                <w:sz w:val="24"/>
                <w:szCs w:val="24"/>
              </w:rPr>
              <w:t xml:space="preserve">. </w:t>
            </w:r>
            <w:r>
              <w:rPr>
                <w:rFonts w:ascii="Arial" w:hAnsi="Arial" w:cs="Arial"/>
                <w:sz w:val="24"/>
                <w:szCs w:val="24"/>
              </w:rPr>
              <w:t xml:space="preserve">She </w:t>
            </w:r>
            <w:r w:rsidR="00E55D60">
              <w:rPr>
                <w:rFonts w:ascii="Arial" w:hAnsi="Arial" w:cs="Arial"/>
                <w:sz w:val="24"/>
                <w:szCs w:val="24"/>
              </w:rPr>
              <w:t>expressed</w:t>
            </w:r>
            <w:r w:rsidRPr="00681267">
              <w:rPr>
                <w:rFonts w:ascii="Arial" w:hAnsi="Arial" w:cs="Arial"/>
                <w:sz w:val="24"/>
                <w:szCs w:val="24"/>
              </w:rPr>
              <w:t xml:space="preserve"> many </w:t>
            </w:r>
            <w:r>
              <w:rPr>
                <w:rFonts w:ascii="Arial" w:hAnsi="Arial" w:cs="Arial"/>
                <w:sz w:val="24"/>
                <w:szCs w:val="24"/>
              </w:rPr>
              <w:t xml:space="preserve">firmly held </w:t>
            </w:r>
            <w:r w:rsidRPr="00681267">
              <w:rPr>
                <w:rFonts w:ascii="Arial" w:hAnsi="Arial" w:cs="Arial"/>
                <w:sz w:val="24"/>
                <w:szCs w:val="24"/>
              </w:rPr>
              <w:t xml:space="preserve">ideas that would not be </w:t>
            </w:r>
            <w:r>
              <w:rPr>
                <w:rFonts w:ascii="Arial" w:hAnsi="Arial" w:cs="Arial"/>
                <w:sz w:val="24"/>
                <w:szCs w:val="24"/>
              </w:rPr>
              <w:t xml:space="preserve">generally </w:t>
            </w:r>
            <w:r w:rsidRPr="00681267">
              <w:rPr>
                <w:rFonts w:ascii="Arial" w:hAnsi="Arial" w:cs="Arial"/>
                <w:sz w:val="24"/>
                <w:szCs w:val="24"/>
              </w:rPr>
              <w:t xml:space="preserve">regarded </w:t>
            </w:r>
            <w:r>
              <w:rPr>
                <w:rFonts w:ascii="Arial" w:hAnsi="Arial" w:cs="Arial"/>
                <w:sz w:val="24"/>
                <w:szCs w:val="24"/>
              </w:rPr>
              <w:t xml:space="preserve">by professionals </w:t>
            </w:r>
            <w:r w:rsidRPr="00681267">
              <w:rPr>
                <w:rFonts w:ascii="Arial" w:hAnsi="Arial" w:cs="Arial"/>
                <w:sz w:val="24"/>
                <w:szCs w:val="24"/>
              </w:rPr>
              <w:t>as evidence</w:t>
            </w:r>
            <w:r w:rsidR="00CB2864">
              <w:rPr>
                <w:rFonts w:ascii="Arial" w:hAnsi="Arial" w:cs="Arial"/>
                <w:sz w:val="24"/>
                <w:szCs w:val="24"/>
              </w:rPr>
              <w:t>-</w:t>
            </w:r>
            <w:r w:rsidRPr="00681267">
              <w:rPr>
                <w:rFonts w:ascii="Arial" w:hAnsi="Arial" w:cs="Arial"/>
                <w:sz w:val="24"/>
                <w:szCs w:val="24"/>
              </w:rPr>
              <w:t xml:space="preserve">based or in her own or </w:t>
            </w:r>
            <w:r>
              <w:rPr>
                <w:rFonts w:ascii="Arial" w:hAnsi="Arial" w:cs="Arial"/>
                <w:sz w:val="24"/>
                <w:szCs w:val="24"/>
              </w:rPr>
              <w:t>Edward</w:t>
            </w:r>
            <w:r w:rsidRPr="00681267">
              <w:rPr>
                <w:rFonts w:ascii="Arial" w:hAnsi="Arial" w:cs="Arial"/>
                <w:sz w:val="24"/>
                <w:szCs w:val="24"/>
              </w:rPr>
              <w:t>’s best interest</w:t>
            </w:r>
            <w:r>
              <w:rPr>
                <w:rFonts w:ascii="Arial" w:hAnsi="Arial" w:cs="Arial"/>
                <w:sz w:val="24"/>
                <w:szCs w:val="24"/>
              </w:rPr>
              <w:t>s.</w:t>
            </w:r>
          </w:p>
          <w:p w:rsidR="00A335EC" w:rsidRPr="00681267" w:rsidRDefault="00A335EC" w:rsidP="000A0BF8">
            <w:pPr>
              <w:rPr>
                <w:rFonts w:ascii="Arial" w:hAnsi="Arial" w:cs="Arial"/>
                <w:sz w:val="24"/>
                <w:szCs w:val="24"/>
              </w:rPr>
            </w:pPr>
          </w:p>
        </w:tc>
      </w:tr>
      <w:tr w:rsidR="00A335EC" w:rsidRPr="00681267" w:rsidTr="00A335EC">
        <w:tc>
          <w:tcPr>
            <w:tcW w:w="1242" w:type="dxa"/>
          </w:tcPr>
          <w:p w:rsidR="00A335EC" w:rsidRPr="00E55D60" w:rsidRDefault="00E55D60" w:rsidP="0067158B">
            <w:pPr>
              <w:rPr>
                <w:rFonts w:ascii="Arial" w:hAnsi="Arial" w:cs="Arial"/>
                <w:sz w:val="24"/>
                <w:szCs w:val="24"/>
              </w:rPr>
            </w:pPr>
            <w:r w:rsidRPr="00E55D60">
              <w:rPr>
                <w:rFonts w:ascii="Arial" w:hAnsi="Arial" w:cs="Arial"/>
                <w:sz w:val="24"/>
                <w:szCs w:val="24"/>
              </w:rPr>
              <w:t>4.11</w:t>
            </w:r>
          </w:p>
        </w:tc>
        <w:tc>
          <w:tcPr>
            <w:tcW w:w="8000" w:type="dxa"/>
          </w:tcPr>
          <w:p w:rsidR="00A335EC" w:rsidRDefault="005F65AA" w:rsidP="005F5BD3">
            <w:pPr>
              <w:contextualSpacing/>
              <w:rPr>
                <w:rFonts w:ascii="Arial" w:hAnsi="Arial" w:cs="Arial"/>
                <w:sz w:val="24"/>
                <w:szCs w:val="24"/>
              </w:rPr>
            </w:pPr>
            <w:r>
              <w:rPr>
                <w:rFonts w:ascii="Arial" w:hAnsi="Arial" w:cs="Arial"/>
                <w:sz w:val="24"/>
                <w:szCs w:val="24"/>
              </w:rPr>
              <w:t xml:space="preserve">Edward’s mum faced very real difficulties in her life and this coupled with her belief system </w:t>
            </w:r>
            <w:r w:rsidR="00A05D3E">
              <w:rPr>
                <w:rFonts w:ascii="Arial" w:hAnsi="Arial" w:cs="Arial"/>
                <w:sz w:val="24"/>
                <w:szCs w:val="24"/>
              </w:rPr>
              <w:t>did not make it easy for agencies</w:t>
            </w:r>
            <w:r>
              <w:rPr>
                <w:rFonts w:ascii="Arial" w:hAnsi="Arial" w:cs="Arial"/>
                <w:sz w:val="24"/>
                <w:szCs w:val="24"/>
              </w:rPr>
              <w:t xml:space="preserve"> to help</w:t>
            </w:r>
            <w:r w:rsidR="00A05D3E">
              <w:rPr>
                <w:rFonts w:ascii="Arial" w:hAnsi="Arial" w:cs="Arial"/>
                <w:sz w:val="24"/>
                <w:szCs w:val="24"/>
              </w:rPr>
              <w:t xml:space="preserve"> her</w:t>
            </w:r>
            <w:r>
              <w:rPr>
                <w:rFonts w:ascii="Arial" w:hAnsi="Arial" w:cs="Arial"/>
                <w:sz w:val="24"/>
                <w:szCs w:val="24"/>
              </w:rPr>
              <w:t>. It is understandable that profes</w:t>
            </w:r>
            <w:r w:rsidR="00A335EC">
              <w:rPr>
                <w:rFonts w:ascii="Arial" w:hAnsi="Arial" w:cs="Arial"/>
                <w:sz w:val="24"/>
                <w:szCs w:val="24"/>
              </w:rPr>
              <w:t xml:space="preserve">sional staff </w:t>
            </w:r>
            <w:r>
              <w:rPr>
                <w:rFonts w:ascii="Arial" w:hAnsi="Arial" w:cs="Arial"/>
                <w:sz w:val="24"/>
                <w:szCs w:val="24"/>
              </w:rPr>
              <w:t xml:space="preserve">felt </w:t>
            </w:r>
            <w:r w:rsidR="00A335EC" w:rsidRPr="00681267">
              <w:rPr>
                <w:rFonts w:ascii="Arial" w:hAnsi="Arial" w:cs="Arial"/>
                <w:sz w:val="24"/>
                <w:szCs w:val="24"/>
              </w:rPr>
              <w:t xml:space="preserve">frustrated and powerless </w:t>
            </w:r>
            <w:r w:rsidR="00A335EC">
              <w:rPr>
                <w:rFonts w:ascii="Arial" w:hAnsi="Arial" w:cs="Arial"/>
                <w:sz w:val="24"/>
                <w:szCs w:val="24"/>
              </w:rPr>
              <w:t>in their attempts to bring about what they judged to be improvements for this family. This included attempts to have the three adult offspring able to</w:t>
            </w:r>
            <w:r w:rsidR="00CB2864">
              <w:rPr>
                <w:rFonts w:ascii="Arial" w:hAnsi="Arial" w:cs="Arial"/>
                <w:sz w:val="24"/>
                <w:szCs w:val="24"/>
              </w:rPr>
              <w:t>, whether</w:t>
            </w:r>
            <w:r w:rsidR="00A335EC">
              <w:rPr>
                <w:rFonts w:ascii="Arial" w:hAnsi="Arial" w:cs="Arial"/>
                <w:sz w:val="24"/>
                <w:szCs w:val="24"/>
              </w:rPr>
              <w:t xml:space="preserve"> directly or with non</w:t>
            </w:r>
            <w:r w:rsidR="00CB2864">
              <w:rPr>
                <w:rFonts w:ascii="Arial" w:hAnsi="Arial" w:cs="Arial"/>
                <w:sz w:val="24"/>
                <w:szCs w:val="24"/>
              </w:rPr>
              <w:t>-</w:t>
            </w:r>
            <w:r w:rsidR="00A335EC">
              <w:rPr>
                <w:rFonts w:ascii="Arial" w:hAnsi="Arial" w:cs="Arial"/>
                <w:sz w:val="24"/>
                <w:szCs w:val="24"/>
              </w:rPr>
              <w:t>family support</w:t>
            </w:r>
            <w:r w:rsidR="00CB2864">
              <w:rPr>
                <w:rFonts w:ascii="Arial" w:hAnsi="Arial" w:cs="Arial"/>
                <w:sz w:val="24"/>
                <w:szCs w:val="24"/>
              </w:rPr>
              <w:t>,</w:t>
            </w:r>
            <w:r w:rsidR="00A335EC">
              <w:rPr>
                <w:rFonts w:ascii="Arial" w:hAnsi="Arial" w:cs="Arial"/>
                <w:sz w:val="24"/>
                <w:szCs w:val="24"/>
              </w:rPr>
              <w:t xml:space="preserve"> express their own needs and wishes in their lives. </w:t>
            </w:r>
          </w:p>
          <w:p w:rsidR="00A335EC" w:rsidRPr="00681267" w:rsidRDefault="00A335EC" w:rsidP="005F5BD3">
            <w:pPr>
              <w:contextualSpacing/>
              <w:rPr>
                <w:rFonts w:ascii="Arial" w:hAnsi="Arial" w:cs="Arial"/>
                <w:sz w:val="24"/>
                <w:szCs w:val="24"/>
              </w:rPr>
            </w:pPr>
          </w:p>
        </w:tc>
      </w:tr>
      <w:tr w:rsidR="00A335EC" w:rsidRPr="00681267" w:rsidTr="00A335EC">
        <w:tc>
          <w:tcPr>
            <w:tcW w:w="1242" w:type="dxa"/>
          </w:tcPr>
          <w:p w:rsidR="00A335EC" w:rsidRPr="00BC3A2E" w:rsidRDefault="00E55D60" w:rsidP="0067158B">
            <w:pPr>
              <w:rPr>
                <w:rFonts w:ascii="Arial" w:hAnsi="Arial" w:cs="Arial"/>
                <w:sz w:val="24"/>
                <w:szCs w:val="24"/>
                <w:highlight w:val="yellow"/>
              </w:rPr>
            </w:pPr>
            <w:r w:rsidRPr="005F65AA">
              <w:rPr>
                <w:rFonts w:ascii="Arial" w:hAnsi="Arial" w:cs="Arial"/>
                <w:sz w:val="24"/>
                <w:szCs w:val="24"/>
              </w:rPr>
              <w:t>4.12</w:t>
            </w:r>
          </w:p>
        </w:tc>
        <w:tc>
          <w:tcPr>
            <w:tcW w:w="8000" w:type="dxa"/>
          </w:tcPr>
          <w:p w:rsidR="00A335EC" w:rsidRDefault="00A335EC" w:rsidP="00C8642D">
            <w:pPr>
              <w:contextualSpacing/>
              <w:rPr>
                <w:rFonts w:ascii="Arial" w:hAnsi="Arial" w:cs="Arial"/>
                <w:sz w:val="24"/>
                <w:szCs w:val="24"/>
              </w:rPr>
            </w:pPr>
            <w:r w:rsidRPr="00681267">
              <w:rPr>
                <w:rFonts w:ascii="Arial" w:hAnsi="Arial" w:cs="Arial"/>
                <w:sz w:val="24"/>
                <w:szCs w:val="24"/>
              </w:rPr>
              <w:t>There were, however, occasions where working differently and/or to different policies and organisational practices might have led to different outcomes.</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BC3A2E" w:rsidRDefault="005F65AA" w:rsidP="0067158B">
            <w:pPr>
              <w:rPr>
                <w:rFonts w:ascii="Arial" w:hAnsi="Arial" w:cs="Arial"/>
                <w:sz w:val="24"/>
                <w:szCs w:val="24"/>
                <w:highlight w:val="yellow"/>
              </w:rPr>
            </w:pPr>
            <w:r w:rsidRPr="005F65AA">
              <w:rPr>
                <w:rFonts w:ascii="Arial" w:hAnsi="Arial" w:cs="Arial"/>
                <w:sz w:val="24"/>
                <w:szCs w:val="24"/>
              </w:rPr>
              <w:t>4.13</w:t>
            </w:r>
          </w:p>
        </w:tc>
        <w:tc>
          <w:tcPr>
            <w:tcW w:w="8000" w:type="dxa"/>
          </w:tcPr>
          <w:p w:rsidR="00A335EC" w:rsidRPr="00681267" w:rsidRDefault="00A335EC" w:rsidP="00C8642D">
            <w:pPr>
              <w:contextualSpacing/>
              <w:rPr>
                <w:rFonts w:ascii="Arial" w:hAnsi="Arial" w:cs="Arial"/>
                <w:sz w:val="24"/>
                <w:szCs w:val="24"/>
              </w:rPr>
            </w:pPr>
            <w:r w:rsidRPr="00681267">
              <w:rPr>
                <w:rFonts w:ascii="Arial" w:hAnsi="Arial" w:cs="Arial"/>
                <w:sz w:val="24"/>
                <w:szCs w:val="24"/>
              </w:rPr>
              <w:t xml:space="preserve">The key areas </w:t>
            </w:r>
            <w:r>
              <w:rPr>
                <w:rFonts w:ascii="Arial" w:hAnsi="Arial" w:cs="Arial"/>
                <w:sz w:val="24"/>
                <w:szCs w:val="24"/>
              </w:rPr>
              <w:t>of concern were</w:t>
            </w:r>
            <w:r w:rsidRPr="00681267">
              <w:rPr>
                <w:rFonts w:ascii="Arial" w:hAnsi="Arial" w:cs="Arial"/>
                <w:sz w:val="24"/>
                <w:szCs w:val="24"/>
              </w:rPr>
              <w:t>:</w:t>
            </w:r>
          </w:p>
          <w:p w:rsidR="00A335EC" w:rsidRPr="00681267" w:rsidRDefault="00A335EC" w:rsidP="00C8642D">
            <w:pPr>
              <w:pStyle w:val="ListParagraph"/>
              <w:numPr>
                <w:ilvl w:val="0"/>
                <w:numId w:val="15"/>
              </w:numPr>
              <w:contextualSpacing/>
            </w:pPr>
            <w:r>
              <w:t>Edward</w:t>
            </w:r>
            <w:r w:rsidRPr="00681267">
              <w:t xml:space="preserve">, as a person, being invisible to most professional staff </w:t>
            </w:r>
            <w:r w:rsidR="00A05D3E">
              <w:t>as they accepted mum’s terms in order to</w:t>
            </w:r>
            <w:r w:rsidRPr="00681267">
              <w:t xml:space="preserve"> maintain </w:t>
            </w:r>
            <w:r>
              <w:t xml:space="preserve">some </w:t>
            </w:r>
            <w:r w:rsidRPr="00681267">
              <w:t>contact with the family</w:t>
            </w:r>
          </w:p>
          <w:p w:rsidR="00A335EC" w:rsidRPr="00681267" w:rsidRDefault="00A335EC" w:rsidP="00C8642D">
            <w:pPr>
              <w:pStyle w:val="ListParagraph"/>
              <w:numPr>
                <w:ilvl w:val="0"/>
                <w:numId w:val="15"/>
              </w:numPr>
              <w:contextualSpacing/>
            </w:pPr>
            <w:r w:rsidRPr="00681267">
              <w:t xml:space="preserve">The lack of clarity about responsibility to </w:t>
            </w:r>
            <w:r>
              <w:t>reconvene</w:t>
            </w:r>
            <w:r w:rsidRPr="00681267">
              <w:t xml:space="preserve"> </w:t>
            </w:r>
            <w:r>
              <w:t>and report back to the</w:t>
            </w:r>
            <w:r w:rsidRPr="00681267">
              <w:t xml:space="preserve"> LCC Legal Panel</w:t>
            </w:r>
            <w:r>
              <w:t xml:space="preserve"> </w:t>
            </w:r>
            <w:r w:rsidR="005F65AA">
              <w:t>after the February meeting in</w:t>
            </w:r>
            <w:r>
              <w:t xml:space="preserve"> 2014</w:t>
            </w:r>
          </w:p>
          <w:p w:rsidR="00A335EC" w:rsidRPr="00681267" w:rsidRDefault="00A335EC" w:rsidP="00C8642D">
            <w:pPr>
              <w:pStyle w:val="ListParagraph"/>
              <w:numPr>
                <w:ilvl w:val="0"/>
                <w:numId w:val="15"/>
              </w:numPr>
              <w:contextualSpacing/>
            </w:pPr>
            <w:r w:rsidRPr="00681267">
              <w:t>The missed opportunity</w:t>
            </w:r>
            <w:r>
              <w:t>,</w:t>
            </w:r>
            <w:r w:rsidRPr="00681267">
              <w:t xml:space="preserve"> </w:t>
            </w:r>
            <w:r>
              <w:t xml:space="preserve">when </w:t>
            </w:r>
            <w:r w:rsidRPr="00681267">
              <w:t xml:space="preserve"> </w:t>
            </w:r>
            <w:r>
              <w:t>Edward</w:t>
            </w:r>
            <w:r w:rsidRPr="00681267">
              <w:t xml:space="preserve"> </w:t>
            </w:r>
            <w:r>
              <w:t>was in</w:t>
            </w:r>
            <w:r w:rsidRPr="00681267">
              <w:t xml:space="preserve"> hospital </w:t>
            </w:r>
            <w:r>
              <w:t xml:space="preserve">in July 2015, </w:t>
            </w:r>
            <w:r w:rsidRPr="00681267">
              <w:t>for Mersey Care</w:t>
            </w:r>
            <w:r>
              <w:t>,</w:t>
            </w:r>
            <w:r w:rsidRPr="00681267">
              <w:t xml:space="preserve"> LCC social work staff</w:t>
            </w:r>
            <w:r>
              <w:t xml:space="preserve">, and Aintree hospital staff </w:t>
            </w:r>
            <w:r w:rsidRPr="00681267">
              <w:t xml:space="preserve"> to carry out an assessment of risk, including consideration of </w:t>
            </w:r>
            <w:r>
              <w:t>Edward’s mum</w:t>
            </w:r>
            <w:r w:rsidRPr="0063226E">
              <w:t>’s known</w:t>
            </w:r>
            <w:r>
              <w:t xml:space="preserve"> suspicions, particularly</w:t>
            </w:r>
            <w:r w:rsidRPr="00681267">
              <w:t xml:space="preserve"> to medication for </w:t>
            </w:r>
            <w:r>
              <w:t>Edward</w:t>
            </w:r>
          </w:p>
          <w:p w:rsidR="00A335EC" w:rsidRPr="00052C7B" w:rsidRDefault="00A335EC" w:rsidP="00C8642D">
            <w:pPr>
              <w:pStyle w:val="ListParagraph"/>
              <w:numPr>
                <w:ilvl w:val="0"/>
                <w:numId w:val="15"/>
              </w:numPr>
              <w:contextualSpacing/>
            </w:pPr>
            <w:r w:rsidRPr="00052C7B">
              <w:t xml:space="preserve">Confusion over Aintree hospital’s notification to LCC Adult Social Care of </w:t>
            </w:r>
            <w:r>
              <w:t>Edward</w:t>
            </w:r>
            <w:r w:rsidRPr="00052C7B">
              <w:t xml:space="preserve">’s discharge from hospital in a timely manner following his second seizure </w:t>
            </w:r>
          </w:p>
          <w:p w:rsidR="00A335EC" w:rsidRDefault="00A335EC" w:rsidP="00C8642D">
            <w:pPr>
              <w:pStyle w:val="ListParagraph"/>
              <w:numPr>
                <w:ilvl w:val="0"/>
                <w:numId w:val="15"/>
              </w:numPr>
              <w:contextualSpacing/>
            </w:pPr>
            <w:r w:rsidRPr="00681267">
              <w:t>The seeming lack of heightened</w:t>
            </w:r>
            <w:r>
              <w:t xml:space="preserve"> professional </w:t>
            </w:r>
            <w:r w:rsidRPr="00681267">
              <w:t xml:space="preserve">concern over the significance of </w:t>
            </w:r>
            <w:r>
              <w:t>Edward</w:t>
            </w:r>
            <w:r w:rsidRPr="00681267">
              <w:t xml:space="preserve"> developing seizures when there is evidence of seizures being a not infrequent cause of premature death among people with learning disabilities</w:t>
            </w:r>
          </w:p>
          <w:p w:rsidR="00A335EC" w:rsidRPr="004209CA" w:rsidRDefault="00A335EC" w:rsidP="00C8642D">
            <w:pPr>
              <w:pStyle w:val="ListParagraph"/>
              <w:numPr>
                <w:ilvl w:val="0"/>
                <w:numId w:val="15"/>
              </w:numPr>
              <w:contextualSpacing/>
            </w:pPr>
            <w:r w:rsidRPr="004209CA">
              <w:t>The lack of clarity over which organisation was taking the lead with the family as particular points, particularly during the period of health interventions, and key workers being absent</w:t>
            </w:r>
          </w:p>
          <w:p w:rsidR="00A335EC" w:rsidRPr="00681267" w:rsidRDefault="00A335EC" w:rsidP="00C8642D">
            <w:pPr>
              <w:pStyle w:val="ListParagraph"/>
              <w:numPr>
                <w:ilvl w:val="0"/>
                <w:numId w:val="15"/>
              </w:numPr>
              <w:contextualSpacing/>
            </w:pPr>
            <w:r w:rsidRPr="004209CA">
              <w:lastRenderedPageBreak/>
              <w:t>The practice of case</w:t>
            </w:r>
            <w:r w:rsidR="00CB2864">
              <w:t>-</w:t>
            </w:r>
            <w:r w:rsidRPr="004209CA">
              <w:t>holding only where there is an active</w:t>
            </w:r>
            <w:r w:rsidRPr="00681267">
              <w:t xml:space="preserve"> intervention with a vulnerable adult, particularly where they are living in a family and environment that is identified to have risks</w:t>
            </w:r>
            <w:r>
              <w:t xml:space="preserve"> that are not being allowed to be mitigated</w:t>
            </w:r>
            <w:r w:rsidRPr="00681267">
              <w:t xml:space="preserve"> </w:t>
            </w:r>
          </w:p>
          <w:p w:rsidR="00A335EC" w:rsidRPr="00681267" w:rsidRDefault="00A335EC" w:rsidP="00C8642D">
            <w:pPr>
              <w:pStyle w:val="ListParagraph"/>
              <w:numPr>
                <w:ilvl w:val="0"/>
                <w:numId w:val="15"/>
              </w:numPr>
              <w:contextualSpacing/>
            </w:pPr>
            <w:r>
              <w:t>There is no evidence that advocacy support from a third sector organisation was suggested to work with Edward to identify his own needs and wishes more clearly</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BC3A2E" w:rsidRDefault="005F65AA" w:rsidP="0067158B">
            <w:pPr>
              <w:rPr>
                <w:rFonts w:ascii="Arial" w:hAnsi="Arial" w:cs="Arial"/>
                <w:sz w:val="24"/>
                <w:szCs w:val="24"/>
                <w:highlight w:val="yellow"/>
              </w:rPr>
            </w:pPr>
            <w:r w:rsidRPr="005F65AA">
              <w:rPr>
                <w:rFonts w:ascii="Arial" w:hAnsi="Arial" w:cs="Arial"/>
                <w:sz w:val="24"/>
                <w:szCs w:val="24"/>
              </w:rPr>
              <w:lastRenderedPageBreak/>
              <w:t>4.14</w:t>
            </w:r>
          </w:p>
        </w:tc>
        <w:tc>
          <w:tcPr>
            <w:tcW w:w="8000" w:type="dxa"/>
          </w:tcPr>
          <w:p w:rsidR="00A335EC" w:rsidRPr="009F1AD2" w:rsidRDefault="00A335EC" w:rsidP="00C8642D">
            <w:pPr>
              <w:rPr>
                <w:rFonts w:ascii="Arial" w:hAnsi="Arial" w:cs="Arial"/>
                <w:color w:val="000000"/>
                <w:sz w:val="24"/>
                <w:szCs w:val="24"/>
              </w:rPr>
            </w:pPr>
            <w:r w:rsidRPr="009F1AD2">
              <w:rPr>
                <w:rFonts w:ascii="Arial" w:hAnsi="Arial" w:cs="Arial"/>
                <w:color w:val="000000"/>
                <w:sz w:val="24"/>
                <w:szCs w:val="24"/>
              </w:rPr>
              <w:t>These</w:t>
            </w:r>
            <w:r>
              <w:rPr>
                <w:rFonts w:ascii="Arial" w:hAnsi="Arial" w:cs="Arial"/>
                <w:color w:val="000000"/>
                <w:sz w:val="24"/>
                <w:szCs w:val="24"/>
              </w:rPr>
              <w:t xml:space="preserve"> missed opportunities</w:t>
            </w:r>
            <w:r w:rsidRPr="009F1AD2">
              <w:rPr>
                <w:rFonts w:ascii="Arial" w:hAnsi="Arial" w:cs="Arial"/>
                <w:color w:val="000000"/>
                <w:sz w:val="24"/>
                <w:szCs w:val="24"/>
              </w:rPr>
              <w:t xml:space="preserve"> have been recognised by Panel members and by frontline staff who were involved in the Review. A</w:t>
            </w:r>
            <w:r>
              <w:rPr>
                <w:rFonts w:ascii="Arial" w:hAnsi="Arial" w:cs="Arial"/>
                <w:color w:val="000000"/>
                <w:sz w:val="24"/>
                <w:szCs w:val="24"/>
              </w:rPr>
              <w:t xml:space="preserve">intree hospital, who </w:t>
            </w:r>
            <w:r w:rsidRPr="009F1AD2">
              <w:rPr>
                <w:rFonts w:ascii="Arial" w:hAnsi="Arial" w:cs="Arial"/>
                <w:color w:val="000000"/>
                <w:sz w:val="24"/>
                <w:szCs w:val="24"/>
              </w:rPr>
              <w:t xml:space="preserve">were not directly involved in the SAR until towards the end of the process, also recognised that there were lessons for them to learn from the findings of this Review. </w:t>
            </w:r>
          </w:p>
          <w:p w:rsidR="00A335EC" w:rsidRPr="00681267" w:rsidRDefault="00A335EC" w:rsidP="00C8642D">
            <w:pPr>
              <w:contextualSpacing/>
              <w:rPr>
                <w:rFonts w:ascii="Arial" w:hAnsi="Arial" w:cs="Arial"/>
                <w:sz w:val="24"/>
                <w:szCs w:val="24"/>
              </w:rPr>
            </w:pPr>
          </w:p>
        </w:tc>
      </w:tr>
      <w:tr w:rsidR="00A335EC" w:rsidRPr="00681267" w:rsidTr="00A335EC">
        <w:tc>
          <w:tcPr>
            <w:tcW w:w="1242" w:type="dxa"/>
          </w:tcPr>
          <w:p w:rsidR="00A335EC" w:rsidRPr="00BC3A2E" w:rsidRDefault="005F65AA" w:rsidP="0067158B">
            <w:pPr>
              <w:rPr>
                <w:rFonts w:ascii="Arial" w:hAnsi="Arial" w:cs="Arial"/>
                <w:sz w:val="24"/>
                <w:szCs w:val="24"/>
                <w:highlight w:val="yellow"/>
              </w:rPr>
            </w:pPr>
            <w:r w:rsidRPr="005F65AA">
              <w:rPr>
                <w:rFonts w:ascii="Arial" w:hAnsi="Arial" w:cs="Arial"/>
                <w:sz w:val="24"/>
                <w:szCs w:val="24"/>
              </w:rPr>
              <w:t>4.15</w:t>
            </w:r>
          </w:p>
        </w:tc>
        <w:tc>
          <w:tcPr>
            <w:tcW w:w="8000" w:type="dxa"/>
          </w:tcPr>
          <w:p w:rsidR="00A335EC" w:rsidRDefault="00A335EC" w:rsidP="00C8642D">
            <w:pPr>
              <w:rPr>
                <w:rFonts w:ascii="Arial" w:hAnsi="Arial" w:cs="Arial"/>
                <w:color w:val="000000"/>
                <w:sz w:val="24"/>
                <w:szCs w:val="24"/>
              </w:rPr>
            </w:pPr>
            <w:r w:rsidRPr="00681267">
              <w:rPr>
                <w:rFonts w:ascii="Arial" w:hAnsi="Arial" w:cs="Arial"/>
                <w:color w:val="000000"/>
                <w:sz w:val="24"/>
                <w:szCs w:val="24"/>
              </w:rPr>
              <w:t xml:space="preserve">The most obvious </w:t>
            </w:r>
            <w:r>
              <w:rPr>
                <w:rFonts w:ascii="Arial" w:hAnsi="Arial" w:cs="Arial"/>
                <w:color w:val="000000"/>
                <w:sz w:val="24"/>
                <w:szCs w:val="24"/>
              </w:rPr>
              <w:t xml:space="preserve">missed opportunity </w:t>
            </w:r>
            <w:r w:rsidRPr="00681267">
              <w:rPr>
                <w:rFonts w:ascii="Arial" w:hAnsi="Arial" w:cs="Arial"/>
                <w:color w:val="000000"/>
                <w:sz w:val="24"/>
                <w:szCs w:val="24"/>
              </w:rPr>
              <w:t>was that</w:t>
            </w:r>
            <w:r w:rsidR="00CB2864">
              <w:rPr>
                <w:rFonts w:ascii="Arial" w:hAnsi="Arial" w:cs="Arial"/>
                <w:color w:val="000000"/>
                <w:sz w:val="24"/>
                <w:szCs w:val="24"/>
              </w:rPr>
              <w:t>,</w:t>
            </w:r>
            <w:r w:rsidRPr="00681267">
              <w:rPr>
                <w:rFonts w:ascii="Arial" w:hAnsi="Arial" w:cs="Arial"/>
                <w:color w:val="000000"/>
                <w:sz w:val="24"/>
                <w:szCs w:val="24"/>
              </w:rPr>
              <w:t xml:space="preserve"> following the Legal Planning meeting on 10</w:t>
            </w:r>
            <w:r w:rsidRPr="00681267">
              <w:rPr>
                <w:rFonts w:ascii="Arial" w:hAnsi="Arial" w:cs="Arial"/>
                <w:color w:val="000000"/>
                <w:sz w:val="24"/>
                <w:szCs w:val="24"/>
                <w:vertAlign w:val="superscript"/>
              </w:rPr>
              <w:t>th</w:t>
            </w:r>
            <w:r w:rsidRPr="00681267">
              <w:rPr>
                <w:rFonts w:ascii="Arial" w:hAnsi="Arial" w:cs="Arial"/>
                <w:color w:val="000000"/>
                <w:sz w:val="24"/>
                <w:szCs w:val="24"/>
              </w:rPr>
              <w:t xml:space="preserve"> February 2014</w:t>
            </w:r>
            <w:r w:rsidR="00CB2864">
              <w:rPr>
                <w:rFonts w:ascii="Arial" w:hAnsi="Arial" w:cs="Arial"/>
                <w:color w:val="000000"/>
                <w:sz w:val="24"/>
                <w:szCs w:val="24"/>
              </w:rPr>
              <w:t>,</w:t>
            </w:r>
            <w:r w:rsidRPr="00681267">
              <w:rPr>
                <w:rFonts w:ascii="Arial" w:hAnsi="Arial" w:cs="Arial"/>
                <w:color w:val="000000"/>
                <w:sz w:val="24"/>
                <w:szCs w:val="24"/>
              </w:rPr>
              <w:t xml:space="preserve"> there was no </w:t>
            </w:r>
            <w:r w:rsidR="00CB2864">
              <w:rPr>
                <w:rFonts w:ascii="Arial" w:hAnsi="Arial" w:cs="Arial"/>
                <w:color w:val="000000"/>
                <w:sz w:val="24"/>
                <w:szCs w:val="24"/>
              </w:rPr>
              <w:t>follow-up</w:t>
            </w:r>
            <w:r w:rsidRPr="00681267">
              <w:rPr>
                <w:rFonts w:ascii="Arial" w:hAnsi="Arial" w:cs="Arial"/>
                <w:color w:val="000000"/>
                <w:sz w:val="24"/>
                <w:szCs w:val="24"/>
              </w:rPr>
              <w:t xml:space="preserve"> meeting at the stipulated 3 month point</w:t>
            </w:r>
            <w:r w:rsidRPr="004209CA">
              <w:rPr>
                <w:rFonts w:ascii="Arial" w:hAnsi="Arial" w:cs="Arial"/>
                <w:color w:val="000000"/>
                <w:sz w:val="24"/>
                <w:szCs w:val="24"/>
              </w:rPr>
              <w:t xml:space="preserve">. Some Panel members also expressed concern that it was a single agency meeting, though </w:t>
            </w:r>
            <w:r w:rsidR="00CB2864">
              <w:rPr>
                <w:rFonts w:ascii="Arial" w:hAnsi="Arial" w:cs="Arial"/>
                <w:color w:val="000000"/>
                <w:sz w:val="24"/>
                <w:szCs w:val="24"/>
              </w:rPr>
              <w:t xml:space="preserve">they </w:t>
            </w:r>
            <w:r w:rsidRPr="004209CA">
              <w:rPr>
                <w:rFonts w:ascii="Arial" w:hAnsi="Arial" w:cs="Arial"/>
                <w:color w:val="000000"/>
                <w:sz w:val="24"/>
                <w:szCs w:val="24"/>
              </w:rPr>
              <w:t xml:space="preserve">recognised that each organisation would need to follow </w:t>
            </w:r>
            <w:r w:rsidR="00CB2864">
              <w:rPr>
                <w:rFonts w:ascii="Arial" w:hAnsi="Arial" w:cs="Arial"/>
                <w:color w:val="000000"/>
                <w:sz w:val="24"/>
                <w:szCs w:val="24"/>
              </w:rPr>
              <w:t>its</w:t>
            </w:r>
            <w:r w:rsidRPr="004209CA">
              <w:rPr>
                <w:rFonts w:ascii="Arial" w:hAnsi="Arial" w:cs="Arial"/>
                <w:color w:val="000000"/>
                <w:sz w:val="24"/>
                <w:szCs w:val="24"/>
              </w:rPr>
              <w:t xml:space="preserve"> own agency legal advice.</w:t>
            </w:r>
            <w:r w:rsidRPr="00681267">
              <w:rPr>
                <w:rFonts w:ascii="Arial" w:hAnsi="Arial" w:cs="Arial"/>
                <w:color w:val="000000"/>
                <w:sz w:val="24"/>
                <w:szCs w:val="24"/>
              </w:rPr>
              <w:t xml:space="preserve"> </w:t>
            </w:r>
          </w:p>
          <w:p w:rsidR="00A335EC" w:rsidRPr="00681267" w:rsidRDefault="00A335EC" w:rsidP="00C8642D">
            <w:pPr>
              <w:rPr>
                <w:rFonts w:ascii="Arial" w:hAnsi="Arial" w:cs="Arial"/>
                <w:b/>
                <w:sz w:val="24"/>
                <w:szCs w:val="24"/>
              </w:rPr>
            </w:pPr>
          </w:p>
        </w:tc>
      </w:tr>
      <w:tr w:rsidR="00A335EC" w:rsidRPr="00681267" w:rsidTr="00A335EC">
        <w:tc>
          <w:tcPr>
            <w:tcW w:w="1242" w:type="dxa"/>
          </w:tcPr>
          <w:p w:rsidR="00A335EC" w:rsidRPr="00BC3A2E" w:rsidRDefault="005F65AA" w:rsidP="0067158B">
            <w:pPr>
              <w:rPr>
                <w:rFonts w:ascii="Arial" w:hAnsi="Arial" w:cs="Arial"/>
                <w:sz w:val="24"/>
                <w:szCs w:val="24"/>
                <w:highlight w:val="yellow"/>
              </w:rPr>
            </w:pPr>
            <w:r w:rsidRPr="005F65AA">
              <w:rPr>
                <w:rFonts w:ascii="Arial" w:hAnsi="Arial" w:cs="Arial"/>
                <w:sz w:val="24"/>
                <w:szCs w:val="24"/>
              </w:rPr>
              <w:t>4.16</w:t>
            </w:r>
          </w:p>
        </w:tc>
        <w:tc>
          <w:tcPr>
            <w:tcW w:w="8000" w:type="dxa"/>
          </w:tcPr>
          <w:p w:rsidR="00A335EC" w:rsidRDefault="00CB2864" w:rsidP="00C8642D">
            <w:pPr>
              <w:rPr>
                <w:rFonts w:ascii="Arial" w:hAnsi="Arial" w:cs="Arial"/>
                <w:color w:val="000000"/>
                <w:sz w:val="24"/>
                <w:szCs w:val="24"/>
              </w:rPr>
            </w:pPr>
            <w:r>
              <w:rPr>
                <w:rFonts w:ascii="Arial" w:hAnsi="Arial" w:cs="Arial"/>
                <w:color w:val="000000"/>
                <w:sz w:val="24"/>
                <w:szCs w:val="24"/>
              </w:rPr>
              <w:t xml:space="preserve">For </w:t>
            </w:r>
            <w:r w:rsidR="00A335EC" w:rsidRPr="00681267">
              <w:rPr>
                <w:rFonts w:ascii="Arial" w:hAnsi="Arial" w:cs="Arial"/>
                <w:color w:val="000000"/>
                <w:sz w:val="24"/>
                <w:szCs w:val="24"/>
              </w:rPr>
              <w:t xml:space="preserve">the period </w:t>
            </w:r>
            <w:r>
              <w:rPr>
                <w:rFonts w:ascii="Arial" w:hAnsi="Arial" w:cs="Arial"/>
                <w:color w:val="000000"/>
                <w:sz w:val="24"/>
                <w:szCs w:val="24"/>
              </w:rPr>
              <w:t>after</w:t>
            </w:r>
            <w:r w:rsidR="00A335EC" w:rsidRPr="00681267">
              <w:rPr>
                <w:rFonts w:ascii="Arial" w:hAnsi="Arial" w:cs="Arial"/>
                <w:color w:val="000000"/>
                <w:sz w:val="24"/>
                <w:szCs w:val="24"/>
              </w:rPr>
              <w:t xml:space="preserve"> 1</w:t>
            </w:r>
            <w:r w:rsidR="00A335EC" w:rsidRPr="00681267">
              <w:rPr>
                <w:rFonts w:ascii="Arial" w:hAnsi="Arial" w:cs="Arial"/>
                <w:color w:val="000000"/>
                <w:sz w:val="24"/>
                <w:szCs w:val="24"/>
                <w:vertAlign w:val="superscript"/>
              </w:rPr>
              <w:t>st</w:t>
            </w:r>
            <w:r w:rsidR="00A335EC" w:rsidRPr="00681267">
              <w:rPr>
                <w:rFonts w:ascii="Arial" w:hAnsi="Arial" w:cs="Arial"/>
                <w:color w:val="000000"/>
                <w:sz w:val="24"/>
                <w:szCs w:val="24"/>
              </w:rPr>
              <w:t xml:space="preserve"> January 2013</w:t>
            </w:r>
            <w:r>
              <w:rPr>
                <w:rFonts w:ascii="Arial" w:hAnsi="Arial" w:cs="Arial"/>
                <w:color w:val="000000"/>
                <w:sz w:val="24"/>
                <w:szCs w:val="24"/>
              </w:rPr>
              <w:t>,</w:t>
            </w:r>
            <w:r w:rsidR="00A335EC" w:rsidRPr="00681267">
              <w:rPr>
                <w:rFonts w:ascii="Arial" w:hAnsi="Arial" w:cs="Arial"/>
                <w:color w:val="000000"/>
                <w:sz w:val="24"/>
                <w:szCs w:val="24"/>
              </w:rPr>
              <w:t xml:space="preserve"> the</w:t>
            </w:r>
            <w:r w:rsidR="00A335EC">
              <w:rPr>
                <w:rFonts w:ascii="Arial" w:hAnsi="Arial" w:cs="Arial"/>
                <w:color w:val="000000"/>
                <w:sz w:val="24"/>
                <w:szCs w:val="24"/>
              </w:rPr>
              <w:t xml:space="preserve"> </w:t>
            </w:r>
            <w:r w:rsidR="00A335EC" w:rsidRPr="00681267">
              <w:rPr>
                <w:rFonts w:ascii="Arial" w:hAnsi="Arial" w:cs="Arial"/>
                <w:color w:val="000000"/>
                <w:sz w:val="24"/>
                <w:szCs w:val="24"/>
              </w:rPr>
              <w:t xml:space="preserve">focus </w:t>
            </w:r>
            <w:r w:rsidR="00A335EC">
              <w:rPr>
                <w:rFonts w:ascii="Arial" w:hAnsi="Arial" w:cs="Arial"/>
                <w:color w:val="000000"/>
                <w:sz w:val="24"/>
                <w:szCs w:val="24"/>
              </w:rPr>
              <w:t xml:space="preserve">on Edward and his family </w:t>
            </w:r>
            <w:r w:rsidR="00186194">
              <w:rPr>
                <w:rFonts w:ascii="Arial" w:hAnsi="Arial" w:cs="Arial"/>
                <w:color w:val="000000"/>
                <w:sz w:val="24"/>
                <w:szCs w:val="24"/>
              </w:rPr>
              <w:t>was</w:t>
            </w:r>
            <w:r w:rsidR="00A335EC" w:rsidRPr="00681267">
              <w:rPr>
                <w:rFonts w:ascii="Arial" w:hAnsi="Arial" w:cs="Arial"/>
                <w:color w:val="000000"/>
                <w:sz w:val="24"/>
                <w:szCs w:val="24"/>
              </w:rPr>
              <w:t xml:space="preserve"> on</w:t>
            </w:r>
            <w:r w:rsidR="00A335EC">
              <w:rPr>
                <w:rFonts w:ascii="Arial" w:hAnsi="Arial" w:cs="Arial"/>
                <w:color w:val="000000"/>
                <w:sz w:val="24"/>
                <w:szCs w:val="24"/>
              </w:rPr>
              <w:t xml:space="preserve"> the reporting of anti- social behaviour towards the family and their home. This prompted a lot of activity to support a </w:t>
            </w:r>
            <w:r w:rsidR="00A335EC" w:rsidRPr="00681267">
              <w:rPr>
                <w:rFonts w:ascii="Arial" w:hAnsi="Arial" w:cs="Arial"/>
                <w:color w:val="000000"/>
                <w:sz w:val="24"/>
                <w:szCs w:val="24"/>
              </w:rPr>
              <w:t>house move</w:t>
            </w:r>
            <w:r w:rsidR="00A335EC">
              <w:rPr>
                <w:rFonts w:ascii="Arial" w:hAnsi="Arial" w:cs="Arial"/>
                <w:color w:val="000000"/>
                <w:sz w:val="24"/>
                <w:szCs w:val="24"/>
              </w:rPr>
              <w:t xml:space="preserve">. </w:t>
            </w:r>
          </w:p>
          <w:p w:rsidR="00A335EC" w:rsidRPr="00681267" w:rsidRDefault="00A335EC" w:rsidP="00C8642D">
            <w:pPr>
              <w:rPr>
                <w:rFonts w:ascii="Arial" w:hAnsi="Arial" w:cs="Arial"/>
                <w:b/>
                <w:sz w:val="24"/>
                <w:szCs w:val="24"/>
              </w:rPr>
            </w:pPr>
          </w:p>
        </w:tc>
      </w:tr>
      <w:tr w:rsidR="00A335EC" w:rsidRPr="00681267" w:rsidTr="00A335EC">
        <w:tc>
          <w:tcPr>
            <w:tcW w:w="1242" w:type="dxa"/>
          </w:tcPr>
          <w:p w:rsidR="00A335EC" w:rsidRPr="00BC3A2E" w:rsidRDefault="005F65AA" w:rsidP="0067158B">
            <w:pPr>
              <w:rPr>
                <w:rFonts w:ascii="Arial" w:hAnsi="Arial" w:cs="Arial"/>
                <w:sz w:val="24"/>
                <w:szCs w:val="24"/>
                <w:highlight w:val="yellow"/>
              </w:rPr>
            </w:pPr>
            <w:r w:rsidRPr="005F65AA">
              <w:rPr>
                <w:rFonts w:ascii="Arial" w:hAnsi="Arial" w:cs="Arial"/>
                <w:sz w:val="24"/>
                <w:szCs w:val="24"/>
              </w:rPr>
              <w:t>4.17</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 xml:space="preserve">The social worker had been concerned about Edward’s needs and human rights as an individual adult being neglected prior to this. Other agencies became involved and expressed concerns about general living </w:t>
            </w:r>
            <w:r w:rsidR="002A3E6F">
              <w:rPr>
                <w:rFonts w:ascii="Arial" w:hAnsi="Arial" w:cs="Arial"/>
                <w:color w:val="000000"/>
                <w:sz w:val="24"/>
                <w:szCs w:val="24"/>
              </w:rPr>
              <w:t>conditions.</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4.18</w:t>
            </w:r>
          </w:p>
        </w:tc>
        <w:tc>
          <w:tcPr>
            <w:tcW w:w="8000" w:type="dxa"/>
          </w:tcPr>
          <w:p w:rsidR="00A335EC" w:rsidRPr="00681267" w:rsidRDefault="00A335EC" w:rsidP="00C8642D">
            <w:pPr>
              <w:rPr>
                <w:rFonts w:ascii="Arial" w:hAnsi="Arial" w:cs="Arial"/>
                <w:color w:val="000000"/>
                <w:sz w:val="24"/>
                <w:szCs w:val="24"/>
              </w:rPr>
            </w:pPr>
            <w:r w:rsidRPr="00681267">
              <w:rPr>
                <w:rFonts w:ascii="Arial" w:hAnsi="Arial" w:cs="Arial"/>
                <w:color w:val="000000"/>
                <w:sz w:val="24"/>
                <w:szCs w:val="24"/>
              </w:rPr>
              <w:t>Once th</w:t>
            </w:r>
            <w:r>
              <w:rPr>
                <w:rFonts w:ascii="Arial" w:hAnsi="Arial" w:cs="Arial"/>
                <w:color w:val="000000"/>
                <w:sz w:val="24"/>
                <w:szCs w:val="24"/>
              </w:rPr>
              <w:t>e house move took place</w:t>
            </w:r>
            <w:r w:rsidR="00CB2864">
              <w:rPr>
                <w:rFonts w:ascii="Arial" w:hAnsi="Arial" w:cs="Arial"/>
                <w:color w:val="000000"/>
                <w:sz w:val="24"/>
                <w:szCs w:val="24"/>
              </w:rPr>
              <w:t>,</w:t>
            </w:r>
            <w:r w:rsidRPr="00681267">
              <w:rPr>
                <w:rFonts w:ascii="Arial" w:hAnsi="Arial" w:cs="Arial"/>
                <w:color w:val="000000"/>
                <w:sz w:val="24"/>
                <w:szCs w:val="24"/>
              </w:rPr>
              <w:t xml:space="preserve"> </w:t>
            </w:r>
            <w:r>
              <w:rPr>
                <w:rFonts w:ascii="Arial" w:hAnsi="Arial" w:cs="Arial"/>
                <w:color w:val="000000"/>
                <w:sz w:val="24"/>
                <w:szCs w:val="24"/>
              </w:rPr>
              <w:t xml:space="preserve">the concerns remained and the Legal Planning meeting was asked to give a view about whether Edward’s situation </w:t>
            </w:r>
            <w:r w:rsidR="00517C1B">
              <w:rPr>
                <w:rFonts w:ascii="Arial" w:hAnsi="Arial" w:cs="Arial"/>
                <w:color w:val="000000"/>
                <w:sz w:val="24"/>
                <w:szCs w:val="24"/>
              </w:rPr>
              <w:t>needed to be brought to</w:t>
            </w:r>
            <w:r>
              <w:rPr>
                <w:rFonts w:ascii="Arial" w:hAnsi="Arial" w:cs="Arial"/>
                <w:color w:val="000000"/>
                <w:sz w:val="24"/>
                <w:szCs w:val="24"/>
              </w:rPr>
              <w:t xml:space="preserve"> the attention of the Court of Protection for advice.</w:t>
            </w:r>
            <w:r w:rsidRPr="00681267">
              <w:rPr>
                <w:rFonts w:ascii="Arial" w:hAnsi="Arial" w:cs="Arial"/>
                <w:color w:val="000000"/>
                <w:sz w:val="24"/>
                <w:szCs w:val="24"/>
              </w:rPr>
              <w:t xml:space="preserve"> </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4.19</w:t>
            </w:r>
          </w:p>
        </w:tc>
        <w:tc>
          <w:tcPr>
            <w:tcW w:w="8000" w:type="dxa"/>
          </w:tcPr>
          <w:p w:rsidR="00A335EC" w:rsidRPr="00681267" w:rsidRDefault="00A335EC" w:rsidP="00C8642D">
            <w:pPr>
              <w:rPr>
                <w:rFonts w:ascii="Arial" w:hAnsi="Arial" w:cs="Arial"/>
                <w:color w:val="000000"/>
                <w:sz w:val="24"/>
                <w:szCs w:val="24"/>
              </w:rPr>
            </w:pPr>
            <w:r w:rsidRPr="004209CA">
              <w:rPr>
                <w:rFonts w:ascii="Arial" w:hAnsi="Arial" w:cs="Arial"/>
                <w:color w:val="000000"/>
                <w:sz w:val="24"/>
                <w:szCs w:val="24"/>
              </w:rPr>
              <w:t xml:space="preserve">The GP, who seemed more acceptable to </w:t>
            </w:r>
            <w:r>
              <w:rPr>
                <w:rFonts w:ascii="Arial" w:hAnsi="Arial" w:cs="Arial"/>
                <w:color w:val="000000"/>
                <w:sz w:val="24"/>
                <w:szCs w:val="24"/>
              </w:rPr>
              <w:t>Edward</w:t>
            </w:r>
            <w:r w:rsidRPr="004209CA">
              <w:rPr>
                <w:rFonts w:ascii="Arial" w:hAnsi="Arial" w:cs="Arial"/>
                <w:color w:val="000000"/>
                <w:sz w:val="24"/>
                <w:szCs w:val="24"/>
              </w:rPr>
              <w:t xml:space="preserve">’s </w:t>
            </w:r>
            <w:r>
              <w:rPr>
                <w:rFonts w:ascii="Arial" w:hAnsi="Arial" w:cs="Arial"/>
                <w:color w:val="000000"/>
                <w:sz w:val="24"/>
                <w:szCs w:val="24"/>
              </w:rPr>
              <w:t>mum</w:t>
            </w:r>
            <w:r w:rsidRPr="004209CA">
              <w:rPr>
                <w:rFonts w:ascii="Arial" w:hAnsi="Arial" w:cs="Arial"/>
                <w:color w:val="000000"/>
                <w:sz w:val="24"/>
                <w:szCs w:val="24"/>
              </w:rPr>
              <w:t>, responded well to concerns raised with him by the social and health workers. He became more proactive about</w:t>
            </w:r>
            <w:r w:rsidRPr="00681267">
              <w:rPr>
                <w:rFonts w:ascii="Arial" w:hAnsi="Arial" w:cs="Arial"/>
                <w:color w:val="000000"/>
                <w:sz w:val="24"/>
                <w:szCs w:val="24"/>
              </w:rPr>
              <w:t xml:space="preserve"> assessment and visiting </w:t>
            </w:r>
            <w:r>
              <w:rPr>
                <w:rFonts w:ascii="Arial" w:hAnsi="Arial" w:cs="Arial"/>
                <w:color w:val="000000"/>
                <w:sz w:val="24"/>
                <w:szCs w:val="24"/>
              </w:rPr>
              <w:t xml:space="preserve">the </w:t>
            </w:r>
            <w:r w:rsidRPr="00681267">
              <w:rPr>
                <w:rFonts w:ascii="Arial" w:hAnsi="Arial" w:cs="Arial"/>
                <w:color w:val="000000"/>
                <w:sz w:val="24"/>
                <w:szCs w:val="24"/>
              </w:rPr>
              <w:t>family</w:t>
            </w:r>
            <w:r>
              <w:rPr>
                <w:rFonts w:ascii="Arial" w:hAnsi="Arial" w:cs="Arial"/>
                <w:color w:val="000000"/>
                <w:sz w:val="24"/>
                <w:szCs w:val="24"/>
              </w:rPr>
              <w:t xml:space="preserve"> and discussing Edward’s need to be more active and seen as an adult with human rights.</w:t>
            </w:r>
            <w:r w:rsidRPr="00681267">
              <w:rPr>
                <w:rFonts w:ascii="Arial" w:hAnsi="Arial" w:cs="Arial"/>
                <w:color w:val="000000"/>
                <w:sz w:val="24"/>
                <w:szCs w:val="24"/>
              </w:rPr>
              <w:t xml:space="preserve"> </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4.20</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 xml:space="preserve">By September 2014 the </w:t>
            </w:r>
            <w:r w:rsidRPr="00681267">
              <w:rPr>
                <w:rFonts w:ascii="Arial" w:hAnsi="Arial" w:cs="Arial"/>
                <w:color w:val="000000"/>
                <w:sz w:val="24"/>
                <w:szCs w:val="24"/>
              </w:rPr>
              <w:t xml:space="preserve">focus </w:t>
            </w:r>
            <w:r>
              <w:rPr>
                <w:rFonts w:ascii="Arial" w:hAnsi="Arial" w:cs="Arial"/>
                <w:color w:val="000000"/>
                <w:sz w:val="24"/>
                <w:szCs w:val="24"/>
              </w:rPr>
              <w:t>of attention on the family moved to</w:t>
            </w:r>
            <w:r w:rsidRPr="00681267">
              <w:rPr>
                <w:rFonts w:ascii="Arial" w:hAnsi="Arial" w:cs="Arial"/>
                <w:color w:val="000000"/>
                <w:sz w:val="24"/>
                <w:szCs w:val="24"/>
              </w:rPr>
              <w:t xml:space="preserve"> getting </w:t>
            </w:r>
            <w:r>
              <w:rPr>
                <w:rFonts w:ascii="Arial" w:hAnsi="Arial" w:cs="Arial"/>
                <w:color w:val="000000"/>
                <w:sz w:val="24"/>
                <w:szCs w:val="24"/>
              </w:rPr>
              <w:t>Edward</w:t>
            </w:r>
            <w:r w:rsidRPr="00681267">
              <w:rPr>
                <w:rFonts w:ascii="Arial" w:hAnsi="Arial" w:cs="Arial"/>
                <w:color w:val="000000"/>
                <w:sz w:val="24"/>
                <w:szCs w:val="24"/>
              </w:rPr>
              <w:t xml:space="preserve"> to hospital to have tests and </w:t>
            </w:r>
            <w:r>
              <w:rPr>
                <w:rFonts w:ascii="Arial" w:hAnsi="Arial" w:cs="Arial"/>
                <w:color w:val="000000"/>
                <w:sz w:val="24"/>
                <w:szCs w:val="24"/>
              </w:rPr>
              <w:t xml:space="preserve">engaging </w:t>
            </w:r>
            <w:r w:rsidRPr="00681267">
              <w:rPr>
                <w:rFonts w:ascii="Arial" w:hAnsi="Arial" w:cs="Arial"/>
                <w:color w:val="000000"/>
                <w:sz w:val="24"/>
                <w:szCs w:val="24"/>
              </w:rPr>
              <w:t>more active involvement from Mersey</w:t>
            </w:r>
            <w:r>
              <w:rPr>
                <w:rFonts w:ascii="Arial" w:hAnsi="Arial" w:cs="Arial"/>
                <w:color w:val="000000"/>
                <w:sz w:val="24"/>
                <w:szCs w:val="24"/>
              </w:rPr>
              <w:t xml:space="preserve"> C</w:t>
            </w:r>
            <w:r w:rsidRPr="00681267">
              <w:rPr>
                <w:rFonts w:ascii="Arial" w:hAnsi="Arial" w:cs="Arial"/>
                <w:color w:val="000000"/>
                <w:sz w:val="24"/>
                <w:szCs w:val="24"/>
              </w:rPr>
              <w:t>are</w:t>
            </w:r>
            <w:r>
              <w:rPr>
                <w:rFonts w:ascii="Arial" w:hAnsi="Arial" w:cs="Arial"/>
                <w:color w:val="000000"/>
                <w:sz w:val="24"/>
                <w:szCs w:val="24"/>
              </w:rPr>
              <w:t xml:space="preserve"> to facilitate this</w:t>
            </w:r>
            <w:r w:rsidRPr="00681267">
              <w:rPr>
                <w:rFonts w:ascii="Arial" w:hAnsi="Arial" w:cs="Arial"/>
                <w:color w:val="000000"/>
                <w:sz w:val="24"/>
                <w:szCs w:val="24"/>
              </w:rPr>
              <w:t xml:space="preserve">. </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4.21</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There were some</w:t>
            </w:r>
            <w:r w:rsidRPr="00681267">
              <w:rPr>
                <w:rFonts w:ascii="Arial" w:hAnsi="Arial" w:cs="Arial"/>
                <w:color w:val="000000"/>
                <w:sz w:val="24"/>
                <w:szCs w:val="24"/>
              </w:rPr>
              <w:t xml:space="preserve"> good examples of careful planning</w:t>
            </w:r>
            <w:r>
              <w:rPr>
                <w:rFonts w:ascii="Arial" w:hAnsi="Arial" w:cs="Arial"/>
                <w:color w:val="000000"/>
                <w:sz w:val="24"/>
                <w:szCs w:val="24"/>
              </w:rPr>
              <w:t>, good communication,</w:t>
            </w:r>
            <w:r w:rsidRPr="00681267">
              <w:rPr>
                <w:rFonts w:ascii="Arial" w:hAnsi="Arial" w:cs="Arial"/>
                <w:color w:val="000000"/>
                <w:sz w:val="24"/>
                <w:szCs w:val="24"/>
              </w:rPr>
              <w:t xml:space="preserve"> and</w:t>
            </w:r>
            <w:r>
              <w:rPr>
                <w:rFonts w:ascii="Arial" w:hAnsi="Arial" w:cs="Arial"/>
                <w:color w:val="000000"/>
                <w:sz w:val="24"/>
                <w:szCs w:val="24"/>
              </w:rPr>
              <w:t xml:space="preserve"> direct support work from Mersey Care and partner agencies, including Aintree hospital. </w:t>
            </w:r>
            <w:r w:rsidRPr="00681267">
              <w:rPr>
                <w:rFonts w:ascii="Arial" w:hAnsi="Arial" w:cs="Arial"/>
                <w:color w:val="000000"/>
                <w:sz w:val="24"/>
                <w:szCs w:val="24"/>
              </w:rPr>
              <w:t xml:space="preserve"> </w:t>
            </w:r>
            <w:r>
              <w:rPr>
                <w:rFonts w:ascii="Arial" w:hAnsi="Arial" w:cs="Arial"/>
                <w:color w:val="000000"/>
                <w:sz w:val="24"/>
                <w:szCs w:val="24"/>
              </w:rPr>
              <w:t>O</w:t>
            </w:r>
            <w:r w:rsidRPr="00681267">
              <w:rPr>
                <w:rFonts w:ascii="Arial" w:hAnsi="Arial" w:cs="Arial"/>
                <w:color w:val="000000"/>
                <w:sz w:val="24"/>
                <w:szCs w:val="24"/>
              </w:rPr>
              <w:t xml:space="preserve">n three occasions this resulted in </w:t>
            </w:r>
            <w:r>
              <w:rPr>
                <w:rFonts w:ascii="Arial" w:hAnsi="Arial" w:cs="Arial"/>
                <w:color w:val="000000"/>
                <w:sz w:val="24"/>
                <w:szCs w:val="24"/>
              </w:rPr>
              <w:t xml:space="preserve">Edward </w:t>
            </w:r>
            <w:r w:rsidRPr="00681267">
              <w:rPr>
                <w:rFonts w:ascii="Arial" w:hAnsi="Arial" w:cs="Arial"/>
                <w:color w:val="000000"/>
                <w:sz w:val="24"/>
                <w:szCs w:val="24"/>
              </w:rPr>
              <w:t>being seen by a consultant / having some tests done</w:t>
            </w:r>
            <w:r>
              <w:rPr>
                <w:rFonts w:ascii="Arial" w:hAnsi="Arial" w:cs="Arial"/>
                <w:color w:val="000000"/>
                <w:sz w:val="24"/>
                <w:szCs w:val="24"/>
              </w:rPr>
              <w:t xml:space="preserve">. </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lastRenderedPageBreak/>
              <w:t>4.22</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Edward’s mum appeared to be cooperating well with the health workers</w:t>
            </w:r>
            <w:r w:rsidRPr="00681267">
              <w:rPr>
                <w:rFonts w:ascii="Arial" w:hAnsi="Arial" w:cs="Arial"/>
                <w:color w:val="000000"/>
                <w:sz w:val="24"/>
                <w:szCs w:val="24"/>
              </w:rPr>
              <w:t xml:space="preserve"> efforts</w:t>
            </w:r>
            <w:r>
              <w:rPr>
                <w:rFonts w:ascii="Arial" w:hAnsi="Arial" w:cs="Arial"/>
                <w:color w:val="000000"/>
                <w:sz w:val="24"/>
                <w:szCs w:val="24"/>
              </w:rPr>
              <w:t>. However, when the named</w:t>
            </w:r>
            <w:r w:rsidRPr="00681267">
              <w:rPr>
                <w:rFonts w:ascii="Arial" w:hAnsi="Arial" w:cs="Arial"/>
                <w:color w:val="000000"/>
                <w:sz w:val="24"/>
                <w:szCs w:val="24"/>
              </w:rPr>
              <w:t xml:space="preserve"> </w:t>
            </w:r>
            <w:r>
              <w:rPr>
                <w:rFonts w:ascii="Arial" w:hAnsi="Arial" w:cs="Arial"/>
                <w:color w:val="000000"/>
                <w:sz w:val="24"/>
                <w:szCs w:val="24"/>
              </w:rPr>
              <w:t xml:space="preserve">LD nurse </w:t>
            </w:r>
            <w:r w:rsidRPr="00681267">
              <w:rPr>
                <w:rFonts w:ascii="Arial" w:hAnsi="Arial" w:cs="Arial"/>
                <w:color w:val="000000"/>
                <w:sz w:val="24"/>
                <w:szCs w:val="24"/>
              </w:rPr>
              <w:t xml:space="preserve">was </w:t>
            </w:r>
            <w:r>
              <w:rPr>
                <w:rFonts w:ascii="Arial" w:hAnsi="Arial" w:cs="Arial"/>
                <w:color w:val="000000"/>
                <w:sz w:val="24"/>
                <w:szCs w:val="24"/>
              </w:rPr>
              <w:t>unavailable for a number of m</w:t>
            </w:r>
            <w:r w:rsidRPr="00681267">
              <w:rPr>
                <w:rFonts w:ascii="Arial" w:hAnsi="Arial" w:cs="Arial"/>
                <w:color w:val="000000"/>
                <w:sz w:val="24"/>
                <w:szCs w:val="24"/>
              </w:rPr>
              <w:t>o</w:t>
            </w:r>
            <w:r>
              <w:rPr>
                <w:rFonts w:ascii="Arial" w:hAnsi="Arial" w:cs="Arial"/>
                <w:color w:val="000000"/>
                <w:sz w:val="24"/>
                <w:szCs w:val="24"/>
              </w:rPr>
              <w:t>nths to make the arrangements and sort out the difficulties with de</w:t>
            </w:r>
            <w:r w:rsidRPr="00681267">
              <w:rPr>
                <w:rFonts w:ascii="Arial" w:hAnsi="Arial" w:cs="Arial"/>
                <w:color w:val="000000"/>
                <w:sz w:val="24"/>
                <w:szCs w:val="24"/>
              </w:rPr>
              <w:t xml:space="preserve">layed ambulances and tight </w:t>
            </w:r>
            <w:r>
              <w:rPr>
                <w:rFonts w:ascii="Arial" w:hAnsi="Arial" w:cs="Arial"/>
                <w:color w:val="000000"/>
                <w:sz w:val="24"/>
                <w:szCs w:val="24"/>
              </w:rPr>
              <w:t xml:space="preserve">appointment </w:t>
            </w:r>
            <w:r w:rsidRPr="00681267">
              <w:rPr>
                <w:rFonts w:ascii="Arial" w:hAnsi="Arial" w:cs="Arial"/>
                <w:color w:val="000000"/>
                <w:sz w:val="24"/>
                <w:szCs w:val="24"/>
              </w:rPr>
              <w:t>scheduling</w:t>
            </w:r>
            <w:r>
              <w:rPr>
                <w:rFonts w:ascii="Arial" w:hAnsi="Arial" w:cs="Arial"/>
                <w:color w:val="000000"/>
                <w:sz w:val="24"/>
                <w:szCs w:val="24"/>
              </w:rPr>
              <w:t>, this led</w:t>
            </w:r>
            <w:r w:rsidRPr="00681267">
              <w:rPr>
                <w:rFonts w:ascii="Arial" w:hAnsi="Arial" w:cs="Arial"/>
                <w:color w:val="000000"/>
                <w:sz w:val="24"/>
                <w:szCs w:val="24"/>
              </w:rPr>
              <w:t xml:space="preserve"> to </w:t>
            </w:r>
            <w:r>
              <w:rPr>
                <w:rFonts w:ascii="Arial" w:hAnsi="Arial" w:cs="Arial"/>
                <w:color w:val="000000"/>
                <w:sz w:val="24"/>
                <w:szCs w:val="24"/>
              </w:rPr>
              <w:t>his mum</w:t>
            </w:r>
            <w:r w:rsidRPr="00681267">
              <w:rPr>
                <w:rFonts w:ascii="Arial" w:hAnsi="Arial" w:cs="Arial"/>
                <w:color w:val="000000"/>
                <w:sz w:val="24"/>
                <w:szCs w:val="24"/>
              </w:rPr>
              <w:t xml:space="preserve"> withdrawing cooperation.</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BC3A2E" w:rsidRDefault="0032599F" w:rsidP="0067158B">
            <w:pPr>
              <w:rPr>
                <w:rFonts w:ascii="Arial" w:hAnsi="Arial" w:cs="Arial"/>
                <w:sz w:val="24"/>
                <w:szCs w:val="24"/>
                <w:highlight w:val="yellow"/>
              </w:rPr>
            </w:pPr>
            <w:r w:rsidRPr="0032599F">
              <w:rPr>
                <w:rFonts w:ascii="Arial" w:hAnsi="Arial" w:cs="Arial"/>
                <w:sz w:val="24"/>
                <w:szCs w:val="24"/>
              </w:rPr>
              <w:t>4.23</w:t>
            </w:r>
          </w:p>
        </w:tc>
        <w:tc>
          <w:tcPr>
            <w:tcW w:w="8000" w:type="dxa"/>
          </w:tcPr>
          <w:p w:rsidR="0032599F" w:rsidRPr="00681267" w:rsidRDefault="00A335EC" w:rsidP="00C8642D">
            <w:pPr>
              <w:rPr>
                <w:rFonts w:ascii="Arial" w:hAnsi="Arial" w:cs="Arial"/>
                <w:color w:val="000000"/>
                <w:sz w:val="24"/>
                <w:szCs w:val="24"/>
              </w:rPr>
            </w:pPr>
            <w:r w:rsidRPr="00681267">
              <w:rPr>
                <w:rFonts w:ascii="Arial" w:hAnsi="Arial" w:cs="Arial"/>
                <w:color w:val="000000"/>
                <w:sz w:val="24"/>
                <w:szCs w:val="24"/>
              </w:rPr>
              <w:t>One of the</w:t>
            </w:r>
            <w:r w:rsidR="00186194">
              <w:rPr>
                <w:rFonts w:ascii="Arial" w:hAnsi="Arial" w:cs="Arial"/>
                <w:color w:val="000000"/>
                <w:sz w:val="24"/>
                <w:szCs w:val="24"/>
              </w:rPr>
              <w:t xml:space="preserve"> assumptions made by</w:t>
            </w:r>
            <w:r w:rsidRPr="00681267">
              <w:rPr>
                <w:rFonts w:ascii="Arial" w:hAnsi="Arial" w:cs="Arial"/>
                <w:color w:val="000000"/>
                <w:sz w:val="24"/>
                <w:szCs w:val="24"/>
              </w:rPr>
              <w:t xml:space="preserve"> </w:t>
            </w:r>
            <w:r w:rsidR="00186194">
              <w:rPr>
                <w:rFonts w:ascii="Arial" w:hAnsi="Arial" w:cs="Arial"/>
                <w:color w:val="000000"/>
                <w:sz w:val="24"/>
                <w:szCs w:val="24"/>
              </w:rPr>
              <w:t>general</w:t>
            </w:r>
            <w:r>
              <w:rPr>
                <w:rFonts w:ascii="Arial" w:hAnsi="Arial" w:cs="Arial"/>
                <w:color w:val="000000"/>
                <w:sz w:val="24"/>
                <w:szCs w:val="24"/>
              </w:rPr>
              <w:t xml:space="preserve"> society </w:t>
            </w:r>
            <w:r w:rsidR="00186194">
              <w:rPr>
                <w:rFonts w:ascii="Arial" w:hAnsi="Arial" w:cs="Arial"/>
                <w:color w:val="000000"/>
                <w:sz w:val="24"/>
                <w:szCs w:val="24"/>
              </w:rPr>
              <w:t xml:space="preserve">and </w:t>
            </w:r>
            <w:r>
              <w:rPr>
                <w:rFonts w:ascii="Arial" w:hAnsi="Arial" w:cs="Arial"/>
                <w:color w:val="000000"/>
                <w:sz w:val="24"/>
                <w:szCs w:val="24"/>
              </w:rPr>
              <w:t>highlighted</w:t>
            </w:r>
            <w:r w:rsidRPr="00681267">
              <w:rPr>
                <w:rFonts w:ascii="Arial" w:hAnsi="Arial" w:cs="Arial"/>
                <w:color w:val="000000"/>
                <w:sz w:val="24"/>
                <w:szCs w:val="24"/>
              </w:rPr>
              <w:t xml:space="preserve"> in this case is</w:t>
            </w:r>
            <w:r w:rsidR="00517C1B">
              <w:rPr>
                <w:rFonts w:ascii="Arial" w:hAnsi="Arial" w:cs="Arial"/>
                <w:color w:val="000000"/>
                <w:sz w:val="24"/>
                <w:szCs w:val="24"/>
              </w:rPr>
              <w:t xml:space="preserve"> </w:t>
            </w:r>
            <w:r w:rsidRPr="00681267">
              <w:rPr>
                <w:rFonts w:ascii="Arial" w:hAnsi="Arial" w:cs="Arial"/>
                <w:color w:val="000000"/>
                <w:sz w:val="24"/>
                <w:szCs w:val="24"/>
              </w:rPr>
              <w:t xml:space="preserve">that parents will care for their disabled child </w:t>
            </w:r>
            <w:r>
              <w:rPr>
                <w:rFonts w:ascii="Arial" w:hAnsi="Arial" w:cs="Arial"/>
                <w:color w:val="000000"/>
                <w:sz w:val="24"/>
                <w:szCs w:val="24"/>
              </w:rPr>
              <w:t>well into their</w:t>
            </w:r>
            <w:r w:rsidRPr="00681267">
              <w:rPr>
                <w:rFonts w:ascii="Arial" w:hAnsi="Arial" w:cs="Arial"/>
                <w:color w:val="000000"/>
                <w:sz w:val="24"/>
                <w:szCs w:val="24"/>
              </w:rPr>
              <w:t xml:space="preserve"> adulthood. In some cases services would be assessed and offered by </w:t>
            </w:r>
            <w:r w:rsidR="00517C1B" w:rsidRPr="00517C1B">
              <w:rPr>
                <w:rFonts w:ascii="Arial" w:hAnsi="Arial" w:cs="Arial"/>
                <w:color w:val="000000"/>
                <w:sz w:val="24"/>
                <w:szCs w:val="24"/>
              </w:rPr>
              <w:t xml:space="preserve">Adult Social </w:t>
            </w:r>
            <w:r w:rsidR="00517C1B">
              <w:rPr>
                <w:rFonts w:ascii="Arial" w:hAnsi="Arial" w:cs="Arial"/>
                <w:color w:val="000000"/>
                <w:sz w:val="24"/>
                <w:szCs w:val="24"/>
              </w:rPr>
              <w:t>C</w:t>
            </w:r>
            <w:r w:rsidR="00517C1B" w:rsidRPr="00517C1B">
              <w:rPr>
                <w:rFonts w:ascii="Arial" w:hAnsi="Arial" w:cs="Arial"/>
                <w:color w:val="000000"/>
                <w:sz w:val="24"/>
                <w:szCs w:val="24"/>
              </w:rPr>
              <w:t xml:space="preserve">are </w:t>
            </w:r>
            <w:r w:rsidRPr="00517C1B">
              <w:rPr>
                <w:rFonts w:ascii="Arial" w:hAnsi="Arial" w:cs="Arial"/>
                <w:color w:val="000000"/>
                <w:sz w:val="24"/>
                <w:szCs w:val="24"/>
              </w:rPr>
              <w:t>but</w:t>
            </w:r>
            <w:r w:rsidR="00186194" w:rsidRPr="00517C1B">
              <w:rPr>
                <w:rFonts w:ascii="Arial" w:hAnsi="Arial" w:cs="Arial"/>
                <w:color w:val="000000"/>
                <w:sz w:val="24"/>
                <w:szCs w:val="24"/>
              </w:rPr>
              <w:t>,</w:t>
            </w:r>
            <w:r w:rsidRPr="00517C1B">
              <w:rPr>
                <w:rFonts w:ascii="Arial" w:hAnsi="Arial" w:cs="Arial"/>
                <w:color w:val="000000"/>
                <w:sz w:val="24"/>
                <w:szCs w:val="24"/>
              </w:rPr>
              <w:t xml:space="preserve"> if refused and there were no obvious safeguarding issues</w:t>
            </w:r>
            <w:r w:rsidR="00517C1B">
              <w:rPr>
                <w:rFonts w:ascii="Arial" w:hAnsi="Arial" w:cs="Arial"/>
                <w:color w:val="000000"/>
                <w:sz w:val="24"/>
                <w:szCs w:val="24"/>
              </w:rPr>
              <w:t xml:space="preserve">, </w:t>
            </w:r>
            <w:r w:rsidR="00517C1B" w:rsidRPr="00517C1B">
              <w:rPr>
                <w:rFonts w:ascii="Arial" w:hAnsi="Arial" w:cs="Arial"/>
                <w:color w:val="000000"/>
                <w:sz w:val="24"/>
                <w:szCs w:val="24"/>
              </w:rPr>
              <w:t>A</w:t>
            </w:r>
            <w:r w:rsidR="001C419A" w:rsidRPr="00517C1B">
              <w:rPr>
                <w:rFonts w:ascii="Arial" w:hAnsi="Arial" w:cs="Arial"/>
                <w:color w:val="000000"/>
                <w:sz w:val="24"/>
                <w:szCs w:val="24"/>
              </w:rPr>
              <w:t xml:space="preserve">dult </w:t>
            </w:r>
            <w:r w:rsidR="00517C1B" w:rsidRPr="00517C1B">
              <w:rPr>
                <w:rFonts w:ascii="Arial" w:hAnsi="Arial" w:cs="Arial"/>
                <w:color w:val="000000"/>
                <w:sz w:val="24"/>
                <w:szCs w:val="24"/>
              </w:rPr>
              <w:t>Social Care</w:t>
            </w:r>
            <w:r w:rsidRPr="00681267">
              <w:rPr>
                <w:rFonts w:ascii="Arial" w:hAnsi="Arial" w:cs="Arial"/>
                <w:color w:val="000000"/>
                <w:sz w:val="24"/>
                <w:szCs w:val="24"/>
              </w:rPr>
              <w:t xml:space="preserve"> would not maintain contact. The assumption is that such carers, who are often single parents, usually </w:t>
            </w:r>
            <w:r>
              <w:rPr>
                <w:rFonts w:ascii="Arial" w:hAnsi="Arial" w:cs="Arial"/>
                <w:color w:val="000000"/>
                <w:sz w:val="24"/>
                <w:szCs w:val="24"/>
              </w:rPr>
              <w:t>a mum</w:t>
            </w:r>
            <w:r w:rsidRPr="00681267">
              <w:rPr>
                <w:rFonts w:ascii="Arial" w:hAnsi="Arial" w:cs="Arial"/>
                <w:color w:val="000000"/>
                <w:sz w:val="24"/>
                <w:szCs w:val="24"/>
              </w:rPr>
              <w:t xml:space="preserve">, will make decisions about their adult children. </w:t>
            </w:r>
            <w:r>
              <w:rPr>
                <w:rFonts w:ascii="Arial" w:hAnsi="Arial" w:cs="Arial"/>
                <w:color w:val="000000"/>
                <w:sz w:val="24"/>
                <w:szCs w:val="24"/>
              </w:rPr>
              <w:t>In most families this works well enough until parent(s) become older/ill or the adult disabled person develops additional needs.</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4.24</w:t>
            </w:r>
          </w:p>
        </w:tc>
        <w:tc>
          <w:tcPr>
            <w:tcW w:w="8000" w:type="dxa"/>
          </w:tcPr>
          <w:p w:rsidR="00A335EC" w:rsidRDefault="00A335EC" w:rsidP="00C8642D">
            <w:pPr>
              <w:rPr>
                <w:rFonts w:ascii="Arial" w:hAnsi="Arial" w:cs="Arial"/>
                <w:color w:val="000000"/>
                <w:sz w:val="24"/>
                <w:szCs w:val="24"/>
              </w:rPr>
            </w:pPr>
            <w:r w:rsidRPr="00681267">
              <w:rPr>
                <w:rFonts w:ascii="Arial" w:hAnsi="Arial" w:cs="Arial"/>
                <w:color w:val="000000"/>
                <w:sz w:val="24"/>
                <w:szCs w:val="24"/>
              </w:rPr>
              <w:t xml:space="preserve">This </w:t>
            </w:r>
            <w:r>
              <w:rPr>
                <w:rFonts w:ascii="Arial" w:hAnsi="Arial" w:cs="Arial"/>
                <w:color w:val="000000"/>
                <w:sz w:val="24"/>
                <w:szCs w:val="24"/>
              </w:rPr>
              <w:t xml:space="preserve">normative </w:t>
            </w:r>
            <w:r w:rsidRPr="0063226E">
              <w:rPr>
                <w:rFonts w:ascii="Arial" w:hAnsi="Arial" w:cs="Arial"/>
                <w:sz w:val="24"/>
                <w:szCs w:val="24"/>
              </w:rPr>
              <w:t>expectation</w:t>
            </w:r>
            <w:r>
              <w:rPr>
                <w:rFonts w:ascii="Arial" w:hAnsi="Arial" w:cs="Arial"/>
                <w:color w:val="000000"/>
                <w:sz w:val="24"/>
                <w:szCs w:val="24"/>
              </w:rPr>
              <w:t xml:space="preserve"> </w:t>
            </w:r>
            <w:r w:rsidRPr="00681267">
              <w:rPr>
                <w:rFonts w:ascii="Arial" w:hAnsi="Arial" w:cs="Arial"/>
                <w:color w:val="000000"/>
                <w:sz w:val="24"/>
                <w:szCs w:val="24"/>
              </w:rPr>
              <w:t xml:space="preserve">is well illustrated in the comment on the assessment from the consultant geriatrician about </w:t>
            </w:r>
            <w:r>
              <w:rPr>
                <w:rFonts w:ascii="Arial" w:hAnsi="Arial" w:cs="Arial"/>
                <w:color w:val="000000"/>
                <w:sz w:val="24"/>
                <w:szCs w:val="24"/>
              </w:rPr>
              <w:t>Edward</w:t>
            </w:r>
            <w:r w:rsidRPr="00A70DD9">
              <w:rPr>
                <w:rFonts w:ascii="Arial" w:hAnsi="Arial" w:cs="Arial"/>
                <w:color w:val="000000"/>
                <w:sz w:val="24"/>
                <w:szCs w:val="24"/>
              </w:rPr>
              <w:t xml:space="preserve">’s </w:t>
            </w:r>
            <w:r>
              <w:rPr>
                <w:rFonts w:ascii="Arial" w:hAnsi="Arial" w:cs="Arial"/>
                <w:color w:val="000000"/>
                <w:sz w:val="24"/>
                <w:szCs w:val="24"/>
              </w:rPr>
              <w:t>mum</w:t>
            </w:r>
            <w:r w:rsidRPr="00A70DD9">
              <w:rPr>
                <w:rFonts w:ascii="Arial" w:hAnsi="Arial" w:cs="Arial"/>
                <w:color w:val="000000"/>
                <w:sz w:val="24"/>
                <w:szCs w:val="24"/>
              </w:rPr>
              <w:t>’s capacity to make decisions for her 3 children.</w:t>
            </w:r>
            <w:r>
              <w:rPr>
                <w:rFonts w:ascii="Arial" w:hAnsi="Arial" w:cs="Arial"/>
                <w:b/>
                <w:i/>
                <w:color w:val="000000"/>
                <w:sz w:val="24"/>
                <w:szCs w:val="24"/>
              </w:rPr>
              <w:t xml:space="preserve"> </w:t>
            </w:r>
            <w:r w:rsidRPr="006F5F27">
              <w:rPr>
                <w:rFonts w:ascii="Arial" w:hAnsi="Arial" w:cs="Arial"/>
                <w:color w:val="000000"/>
                <w:sz w:val="24"/>
                <w:szCs w:val="24"/>
              </w:rPr>
              <w:t>There was</w:t>
            </w:r>
            <w:r w:rsidRPr="00681267">
              <w:rPr>
                <w:rFonts w:ascii="Arial" w:hAnsi="Arial" w:cs="Arial"/>
                <w:color w:val="000000"/>
                <w:sz w:val="24"/>
                <w:szCs w:val="24"/>
              </w:rPr>
              <w:t xml:space="preserve"> also very limited focus on seeing </w:t>
            </w:r>
            <w:r>
              <w:rPr>
                <w:rFonts w:ascii="Arial" w:hAnsi="Arial" w:cs="Arial"/>
                <w:color w:val="000000"/>
                <w:sz w:val="24"/>
                <w:szCs w:val="24"/>
              </w:rPr>
              <w:t>Edward</w:t>
            </w:r>
            <w:r w:rsidRPr="00681267">
              <w:rPr>
                <w:rFonts w:ascii="Arial" w:hAnsi="Arial" w:cs="Arial"/>
                <w:color w:val="000000"/>
                <w:sz w:val="24"/>
                <w:szCs w:val="24"/>
              </w:rPr>
              <w:t xml:space="preserve"> alone and trying to assess his wishes whilst not in </w:t>
            </w:r>
            <w:r>
              <w:rPr>
                <w:rFonts w:ascii="Arial" w:hAnsi="Arial" w:cs="Arial"/>
                <w:color w:val="000000"/>
                <w:sz w:val="24"/>
                <w:szCs w:val="24"/>
              </w:rPr>
              <w:t>his mum</w:t>
            </w:r>
            <w:r w:rsidRPr="00681267">
              <w:rPr>
                <w:rFonts w:ascii="Arial" w:hAnsi="Arial" w:cs="Arial"/>
                <w:color w:val="000000"/>
                <w:sz w:val="24"/>
                <w:szCs w:val="24"/>
              </w:rPr>
              <w:t>’s presence. There are other examples in case notes of the</w:t>
            </w:r>
            <w:r>
              <w:rPr>
                <w:rFonts w:ascii="Arial" w:hAnsi="Arial" w:cs="Arial"/>
                <w:color w:val="000000"/>
                <w:sz w:val="24"/>
                <w:szCs w:val="24"/>
              </w:rPr>
              <w:t xml:space="preserve"> description of the 3 adults as </w:t>
            </w:r>
            <w:r w:rsidR="00186194">
              <w:rPr>
                <w:rFonts w:ascii="Arial" w:hAnsi="Arial" w:cs="Arial"/>
                <w:color w:val="000000"/>
                <w:sz w:val="24"/>
                <w:szCs w:val="24"/>
              </w:rPr>
              <w:t>“</w:t>
            </w:r>
            <w:r w:rsidRPr="00681267">
              <w:rPr>
                <w:rFonts w:ascii="Arial" w:hAnsi="Arial" w:cs="Arial"/>
                <w:color w:val="000000"/>
                <w:sz w:val="24"/>
                <w:szCs w:val="24"/>
              </w:rPr>
              <w:t>children</w:t>
            </w:r>
            <w:r w:rsidR="00186194">
              <w:rPr>
                <w:rFonts w:ascii="Arial" w:hAnsi="Arial" w:cs="Arial"/>
                <w:color w:val="000000"/>
                <w:sz w:val="24"/>
                <w:szCs w:val="24"/>
              </w:rPr>
              <w:t>”</w:t>
            </w:r>
            <w:r w:rsidRPr="00681267">
              <w:rPr>
                <w:rFonts w:ascii="Arial" w:hAnsi="Arial" w:cs="Arial"/>
                <w:color w:val="000000"/>
                <w:sz w:val="24"/>
                <w:szCs w:val="24"/>
              </w:rPr>
              <w:t>.</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4.25</w:t>
            </w:r>
          </w:p>
        </w:tc>
        <w:tc>
          <w:tcPr>
            <w:tcW w:w="8000" w:type="dxa"/>
          </w:tcPr>
          <w:p w:rsidR="00A335EC" w:rsidRPr="00681267" w:rsidRDefault="00A335EC" w:rsidP="00C8642D">
            <w:pPr>
              <w:rPr>
                <w:rFonts w:ascii="Arial" w:hAnsi="Arial" w:cs="Arial"/>
                <w:color w:val="000000"/>
                <w:sz w:val="24"/>
                <w:szCs w:val="24"/>
              </w:rPr>
            </w:pPr>
            <w:r w:rsidRPr="00681267">
              <w:rPr>
                <w:rFonts w:ascii="Arial" w:hAnsi="Arial" w:cs="Arial"/>
                <w:color w:val="000000"/>
                <w:sz w:val="24"/>
                <w:szCs w:val="24"/>
              </w:rPr>
              <w:t xml:space="preserve">A number of staff referred to </w:t>
            </w:r>
            <w:r>
              <w:rPr>
                <w:rFonts w:ascii="Arial" w:hAnsi="Arial" w:cs="Arial"/>
                <w:color w:val="000000"/>
                <w:sz w:val="24"/>
                <w:szCs w:val="24"/>
              </w:rPr>
              <w:t>Edward’s mum</w:t>
            </w:r>
            <w:r w:rsidRPr="00681267">
              <w:rPr>
                <w:rFonts w:ascii="Arial" w:hAnsi="Arial" w:cs="Arial"/>
                <w:color w:val="000000"/>
                <w:sz w:val="24"/>
                <w:szCs w:val="24"/>
              </w:rPr>
              <w:t xml:space="preserve"> as being </w:t>
            </w:r>
            <w:r>
              <w:rPr>
                <w:rFonts w:ascii="Arial" w:hAnsi="Arial" w:cs="Arial"/>
                <w:color w:val="000000"/>
                <w:sz w:val="24"/>
                <w:szCs w:val="24"/>
              </w:rPr>
              <w:t>unusual</w:t>
            </w:r>
            <w:r w:rsidRPr="00681267">
              <w:rPr>
                <w:rFonts w:ascii="Arial" w:hAnsi="Arial" w:cs="Arial"/>
                <w:color w:val="000000"/>
                <w:sz w:val="24"/>
                <w:szCs w:val="24"/>
              </w:rPr>
              <w:t xml:space="preserve"> and that she referred to having</w:t>
            </w:r>
            <w:r>
              <w:rPr>
                <w:rFonts w:ascii="Arial" w:hAnsi="Arial" w:cs="Arial"/>
                <w:color w:val="000000"/>
                <w:sz w:val="24"/>
                <w:szCs w:val="24"/>
              </w:rPr>
              <w:t xml:space="preserve"> </w:t>
            </w:r>
            <w:r w:rsidR="00186194">
              <w:rPr>
                <w:rFonts w:ascii="Arial" w:hAnsi="Arial" w:cs="Arial"/>
                <w:color w:val="000000"/>
                <w:sz w:val="24"/>
                <w:szCs w:val="24"/>
              </w:rPr>
              <w:t>“</w:t>
            </w:r>
            <w:r>
              <w:rPr>
                <w:rFonts w:ascii="Arial" w:hAnsi="Arial" w:cs="Arial"/>
                <w:color w:val="000000"/>
                <w:sz w:val="24"/>
                <w:szCs w:val="24"/>
              </w:rPr>
              <w:t>special powers</w:t>
            </w:r>
            <w:r w:rsidR="00186194">
              <w:rPr>
                <w:rFonts w:ascii="Arial" w:hAnsi="Arial" w:cs="Arial"/>
                <w:color w:val="000000"/>
                <w:sz w:val="24"/>
                <w:szCs w:val="24"/>
              </w:rPr>
              <w:t>”</w:t>
            </w:r>
            <w:r>
              <w:rPr>
                <w:rFonts w:ascii="Arial" w:hAnsi="Arial" w:cs="Arial"/>
                <w:color w:val="000000"/>
                <w:sz w:val="24"/>
                <w:szCs w:val="24"/>
              </w:rPr>
              <w:t xml:space="preserve">. However, she was not </w:t>
            </w:r>
            <w:r w:rsidR="00517C1B">
              <w:rPr>
                <w:rFonts w:ascii="Arial" w:hAnsi="Arial" w:cs="Arial"/>
                <w:color w:val="000000"/>
                <w:sz w:val="24"/>
                <w:szCs w:val="24"/>
              </w:rPr>
              <w:t xml:space="preserve">assessed as having </w:t>
            </w:r>
            <w:r>
              <w:rPr>
                <w:rFonts w:ascii="Arial" w:hAnsi="Arial" w:cs="Arial"/>
                <w:color w:val="000000"/>
                <w:sz w:val="24"/>
                <w:szCs w:val="24"/>
              </w:rPr>
              <w:t xml:space="preserve">any mental illness. Her attention to, and love for her son, </w:t>
            </w:r>
            <w:r w:rsidR="00186194">
              <w:rPr>
                <w:rFonts w:ascii="Arial" w:hAnsi="Arial" w:cs="Arial"/>
                <w:color w:val="000000"/>
                <w:sz w:val="24"/>
                <w:szCs w:val="24"/>
              </w:rPr>
              <w:t>were</w:t>
            </w:r>
            <w:r>
              <w:rPr>
                <w:rFonts w:ascii="Arial" w:hAnsi="Arial" w:cs="Arial"/>
                <w:color w:val="000000"/>
                <w:sz w:val="24"/>
                <w:szCs w:val="24"/>
              </w:rPr>
              <w:t xml:space="preserve"> not doubted and</w:t>
            </w:r>
            <w:r w:rsidR="00186194">
              <w:rPr>
                <w:rFonts w:ascii="Arial" w:hAnsi="Arial" w:cs="Arial"/>
                <w:color w:val="000000"/>
                <w:sz w:val="24"/>
                <w:szCs w:val="24"/>
              </w:rPr>
              <w:t>,</w:t>
            </w:r>
            <w:r>
              <w:rPr>
                <w:rFonts w:ascii="Arial" w:hAnsi="Arial" w:cs="Arial"/>
                <w:color w:val="000000"/>
                <w:sz w:val="24"/>
                <w:szCs w:val="24"/>
              </w:rPr>
              <w:t xml:space="preserve"> as there were no clear</w:t>
            </w:r>
            <w:r w:rsidR="0032599F">
              <w:rPr>
                <w:rFonts w:ascii="Arial" w:hAnsi="Arial" w:cs="Arial"/>
                <w:color w:val="000000"/>
                <w:sz w:val="24"/>
                <w:szCs w:val="24"/>
              </w:rPr>
              <w:t>-</w:t>
            </w:r>
            <w:r>
              <w:rPr>
                <w:rFonts w:ascii="Arial" w:hAnsi="Arial" w:cs="Arial"/>
                <w:color w:val="000000"/>
                <w:sz w:val="24"/>
                <w:szCs w:val="24"/>
              </w:rPr>
              <w:t>cut safeguarding incidents, it was extremely difficult for agencies to intervene without her consent. She did alert the GP to her son’s health needs, although she didn’t always follow the advice given, particularly</w:t>
            </w:r>
            <w:r w:rsidR="00186194">
              <w:rPr>
                <w:rFonts w:ascii="Arial" w:hAnsi="Arial" w:cs="Arial"/>
                <w:color w:val="000000"/>
                <w:sz w:val="24"/>
                <w:szCs w:val="24"/>
              </w:rPr>
              <w:t>, so</w:t>
            </w:r>
            <w:r>
              <w:rPr>
                <w:rFonts w:ascii="Arial" w:hAnsi="Arial" w:cs="Arial"/>
                <w:color w:val="000000"/>
                <w:sz w:val="24"/>
                <w:szCs w:val="24"/>
              </w:rPr>
              <w:t xml:space="preserve"> </w:t>
            </w:r>
            <w:r w:rsidR="00317BFC">
              <w:rPr>
                <w:rFonts w:ascii="Arial" w:hAnsi="Arial" w:cs="Arial"/>
                <w:color w:val="000000"/>
                <w:sz w:val="24"/>
                <w:szCs w:val="24"/>
              </w:rPr>
              <w:t>the evidence suggests</w:t>
            </w:r>
            <w:r w:rsidR="00186194">
              <w:rPr>
                <w:rFonts w:ascii="Arial" w:hAnsi="Arial" w:cs="Arial"/>
                <w:color w:val="000000"/>
                <w:sz w:val="24"/>
                <w:szCs w:val="24"/>
              </w:rPr>
              <w:t>,</w:t>
            </w:r>
            <w:r>
              <w:rPr>
                <w:rFonts w:ascii="Arial" w:hAnsi="Arial" w:cs="Arial"/>
                <w:color w:val="000000"/>
                <w:sz w:val="24"/>
                <w:szCs w:val="24"/>
              </w:rPr>
              <w:t xml:space="preserve"> around medication.</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BC3A2E" w:rsidRDefault="0032599F" w:rsidP="0067158B">
            <w:pPr>
              <w:rPr>
                <w:rFonts w:ascii="Arial" w:hAnsi="Arial" w:cs="Arial"/>
                <w:sz w:val="24"/>
                <w:szCs w:val="24"/>
                <w:highlight w:val="yellow"/>
              </w:rPr>
            </w:pPr>
            <w:r w:rsidRPr="0032599F">
              <w:rPr>
                <w:rFonts w:ascii="Arial" w:hAnsi="Arial" w:cs="Arial"/>
                <w:sz w:val="24"/>
                <w:szCs w:val="24"/>
              </w:rPr>
              <w:t>4.26</w:t>
            </w:r>
          </w:p>
        </w:tc>
        <w:tc>
          <w:tcPr>
            <w:tcW w:w="8000" w:type="dxa"/>
          </w:tcPr>
          <w:p w:rsidR="00A335EC" w:rsidRPr="00681267" w:rsidRDefault="00A335EC" w:rsidP="00C8642D">
            <w:pPr>
              <w:rPr>
                <w:rFonts w:ascii="Arial" w:hAnsi="Arial" w:cs="Arial"/>
                <w:color w:val="000000"/>
                <w:sz w:val="24"/>
                <w:szCs w:val="24"/>
              </w:rPr>
            </w:pPr>
            <w:r>
              <w:rPr>
                <w:rFonts w:ascii="Arial" w:hAnsi="Arial" w:cs="Arial"/>
                <w:color w:val="000000"/>
                <w:sz w:val="24"/>
                <w:szCs w:val="24"/>
              </w:rPr>
              <w:t>Whilst not always successful</w:t>
            </w:r>
            <w:r w:rsidR="00186194">
              <w:rPr>
                <w:rFonts w:ascii="Arial" w:hAnsi="Arial" w:cs="Arial"/>
                <w:color w:val="000000"/>
                <w:sz w:val="24"/>
                <w:szCs w:val="24"/>
              </w:rPr>
              <w:t>,</w:t>
            </w:r>
            <w:r>
              <w:rPr>
                <w:rFonts w:ascii="Arial" w:hAnsi="Arial" w:cs="Arial"/>
                <w:color w:val="000000"/>
                <w:sz w:val="24"/>
                <w:szCs w:val="24"/>
              </w:rPr>
              <w:t xml:space="preserve"> this</w:t>
            </w:r>
            <w:r w:rsidRPr="00681267">
              <w:rPr>
                <w:rFonts w:ascii="Arial" w:hAnsi="Arial" w:cs="Arial"/>
                <w:color w:val="000000"/>
                <w:sz w:val="24"/>
                <w:szCs w:val="24"/>
              </w:rPr>
              <w:t xml:space="preserve"> case does demonstrate good working between </w:t>
            </w:r>
            <w:r>
              <w:rPr>
                <w:rFonts w:ascii="Arial" w:hAnsi="Arial" w:cs="Arial"/>
                <w:color w:val="000000"/>
                <w:sz w:val="24"/>
                <w:szCs w:val="24"/>
              </w:rPr>
              <w:t>GP</w:t>
            </w:r>
            <w:r w:rsidRPr="00681267">
              <w:rPr>
                <w:rFonts w:ascii="Arial" w:hAnsi="Arial" w:cs="Arial"/>
                <w:color w:val="000000"/>
                <w:sz w:val="24"/>
                <w:szCs w:val="24"/>
              </w:rPr>
              <w:t xml:space="preserve">, </w:t>
            </w:r>
            <w:r>
              <w:rPr>
                <w:rFonts w:ascii="Arial" w:hAnsi="Arial" w:cs="Arial"/>
                <w:color w:val="000000"/>
                <w:sz w:val="24"/>
                <w:szCs w:val="24"/>
              </w:rPr>
              <w:t>social worker</w:t>
            </w:r>
            <w:r w:rsidRPr="00681267">
              <w:rPr>
                <w:rFonts w:ascii="Arial" w:hAnsi="Arial" w:cs="Arial"/>
                <w:color w:val="000000"/>
                <w:sz w:val="24"/>
                <w:szCs w:val="24"/>
              </w:rPr>
              <w:t xml:space="preserve">, and Mersey Care NHS Trust staff to engage with a family that </w:t>
            </w:r>
            <w:r w:rsidR="00E025A0">
              <w:rPr>
                <w:rFonts w:ascii="Arial" w:hAnsi="Arial" w:cs="Arial"/>
                <w:color w:val="000000"/>
                <w:sz w:val="24"/>
                <w:szCs w:val="24"/>
              </w:rPr>
              <w:t>was</w:t>
            </w:r>
            <w:r w:rsidR="00E025A0" w:rsidRPr="00681267">
              <w:rPr>
                <w:rFonts w:ascii="Arial" w:hAnsi="Arial" w:cs="Arial"/>
                <w:color w:val="000000"/>
                <w:sz w:val="24"/>
                <w:szCs w:val="24"/>
              </w:rPr>
              <w:t xml:space="preserve"> </w:t>
            </w:r>
            <w:r w:rsidRPr="00681267">
              <w:rPr>
                <w:rFonts w:ascii="Arial" w:hAnsi="Arial" w:cs="Arial"/>
                <w:color w:val="000000"/>
                <w:sz w:val="24"/>
                <w:szCs w:val="24"/>
              </w:rPr>
              <w:t>resistant to intervention.  The best example of this was the period between 25</w:t>
            </w:r>
            <w:r w:rsidRPr="00681267">
              <w:rPr>
                <w:rFonts w:ascii="Arial" w:hAnsi="Arial" w:cs="Arial"/>
                <w:color w:val="000000"/>
                <w:sz w:val="24"/>
                <w:szCs w:val="24"/>
                <w:vertAlign w:val="superscript"/>
              </w:rPr>
              <w:t>th</w:t>
            </w:r>
            <w:r w:rsidRPr="00681267">
              <w:rPr>
                <w:rFonts w:ascii="Arial" w:hAnsi="Arial" w:cs="Arial"/>
                <w:color w:val="000000"/>
                <w:sz w:val="24"/>
                <w:szCs w:val="24"/>
              </w:rPr>
              <w:t xml:space="preserve"> September 2014 and 24</w:t>
            </w:r>
            <w:r w:rsidRPr="00681267">
              <w:rPr>
                <w:rFonts w:ascii="Arial" w:hAnsi="Arial" w:cs="Arial"/>
                <w:color w:val="000000"/>
                <w:sz w:val="24"/>
                <w:szCs w:val="24"/>
                <w:vertAlign w:val="superscript"/>
              </w:rPr>
              <w:t>th</w:t>
            </w:r>
            <w:r w:rsidRPr="00681267">
              <w:rPr>
                <w:rFonts w:ascii="Arial" w:hAnsi="Arial" w:cs="Arial"/>
                <w:color w:val="000000"/>
                <w:sz w:val="24"/>
                <w:szCs w:val="24"/>
              </w:rPr>
              <w:t xml:space="preserve"> November 2014</w:t>
            </w:r>
            <w:r>
              <w:rPr>
                <w:rFonts w:ascii="Arial" w:hAnsi="Arial" w:cs="Arial"/>
                <w:color w:val="000000"/>
                <w:sz w:val="24"/>
                <w:szCs w:val="24"/>
              </w:rPr>
              <w:t xml:space="preserve">. All </w:t>
            </w:r>
            <w:r w:rsidRPr="00681267">
              <w:rPr>
                <w:rFonts w:ascii="Arial" w:hAnsi="Arial" w:cs="Arial"/>
                <w:color w:val="000000"/>
                <w:sz w:val="24"/>
                <w:szCs w:val="24"/>
              </w:rPr>
              <w:t>demonstrated understanding of the resistance by</w:t>
            </w:r>
            <w:r w:rsidR="0032599F">
              <w:rPr>
                <w:rFonts w:ascii="Arial" w:hAnsi="Arial" w:cs="Arial"/>
                <w:color w:val="000000"/>
                <w:sz w:val="24"/>
                <w:szCs w:val="24"/>
              </w:rPr>
              <w:t xml:space="preserve"> the</w:t>
            </w:r>
            <w:r w:rsidRPr="00681267">
              <w:rPr>
                <w:rFonts w:ascii="Arial" w:hAnsi="Arial" w:cs="Arial"/>
                <w:color w:val="000000"/>
                <w:sz w:val="24"/>
                <w:szCs w:val="24"/>
              </w:rPr>
              <w:t xml:space="preserve"> family </w:t>
            </w:r>
            <w:r>
              <w:rPr>
                <w:rFonts w:ascii="Arial" w:hAnsi="Arial" w:cs="Arial"/>
                <w:color w:val="000000"/>
                <w:sz w:val="24"/>
                <w:szCs w:val="24"/>
              </w:rPr>
              <w:t xml:space="preserve">and reached agreement that </w:t>
            </w:r>
            <w:r w:rsidRPr="00681267">
              <w:rPr>
                <w:rFonts w:ascii="Arial" w:hAnsi="Arial" w:cs="Arial"/>
                <w:color w:val="000000"/>
                <w:sz w:val="24"/>
                <w:szCs w:val="24"/>
              </w:rPr>
              <w:t xml:space="preserve">the GP </w:t>
            </w:r>
            <w:r>
              <w:rPr>
                <w:rFonts w:ascii="Arial" w:hAnsi="Arial" w:cs="Arial"/>
                <w:color w:val="000000"/>
                <w:sz w:val="24"/>
                <w:szCs w:val="24"/>
              </w:rPr>
              <w:t xml:space="preserve">was </w:t>
            </w:r>
            <w:r w:rsidRPr="00681267">
              <w:rPr>
                <w:rFonts w:ascii="Arial" w:hAnsi="Arial" w:cs="Arial"/>
                <w:color w:val="000000"/>
                <w:sz w:val="24"/>
                <w:szCs w:val="24"/>
              </w:rPr>
              <w:t xml:space="preserve">best placed to support </w:t>
            </w:r>
            <w:r>
              <w:rPr>
                <w:rFonts w:ascii="Arial" w:hAnsi="Arial" w:cs="Arial"/>
                <w:color w:val="000000"/>
                <w:sz w:val="24"/>
                <w:szCs w:val="24"/>
              </w:rPr>
              <w:t xml:space="preserve">the new Mersey Care worker </w:t>
            </w:r>
            <w:r w:rsidRPr="00681267">
              <w:rPr>
                <w:rFonts w:ascii="Arial" w:hAnsi="Arial" w:cs="Arial"/>
                <w:color w:val="000000"/>
                <w:sz w:val="24"/>
                <w:szCs w:val="24"/>
              </w:rPr>
              <w:t xml:space="preserve">to engage with </w:t>
            </w:r>
            <w:r>
              <w:rPr>
                <w:rFonts w:ascii="Arial" w:hAnsi="Arial" w:cs="Arial"/>
                <w:color w:val="000000"/>
                <w:sz w:val="24"/>
                <w:szCs w:val="24"/>
              </w:rPr>
              <w:t xml:space="preserve">the </w:t>
            </w:r>
            <w:r w:rsidRPr="00681267">
              <w:rPr>
                <w:rFonts w:ascii="Arial" w:hAnsi="Arial" w:cs="Arial"/>
                <w:color w:val="000000"/>
                <w:sz w:val="24"/>
                <w:szCs w:val="24"/>
              </w:rPr>
              <w:t xml:space="preserve">family and </w:t>
            </w:r>
            <w:r>
              <w:rPr>
                <w:rFonts w:ascii="Arial" w:hAnsi="Arial" w:cs="Arial"/>
                <w:color w:val="000000"/>
                <w:sz w:val="24"/>
                <w:szCs w:val="24"/>
              </w:rPr>
              <w:t>Edward.</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4.27</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It seems that</w:t>
            </w:r>
            <w:r w:rsidR="00186194">
              <w:rPr>
                <w:rFonts w:ascii="Arial" w:hAnsi="Arial" w:cs="Arial"/>
                <w:color w:val="000000"/>
                <w:sz w:val="24"/>
                <w:szCs w:val="24"/>
              </w:rPr>
              <w:t>,</w:t>
            </w:r>
            <w:r>
              <w:rPr>
                <w:rFonts w:ascii="Arial" w:hAnsi="Arial" w:cs="Arial"/>
                <w:color w:val="000000"/>
                <w:sz w:val="24"/>
                <w:szCs w:val="24"/>
              </w:rPr>
              <w:t xml:space="preserve"> when the key LD nurse had a period of extended absence and no named worker was put in place</w:t>
            </w:r>
            <w:r w:rsidR="00186194">
              <w:rPr>
                <w:rFonts w:ascii="Arial" w:hAnsi="Arial" w:cs="Arial"/>
                <w:color w:val="000000"/>
                <w:sz w:val="24"/>
                <w:szCs w:val="24"/>
              </w:rPr>
              <w:t>,</w:t>
            </w:r>
            <w:r>
              <w:rPr>
                <w:rFonts w:ascii="Arial" w:hAnsi="Arial" w:cs="Arial"/>
                <w:color w:val="000000"/>
                <w:sz w:val="24"/>
                <w:szCs w:val="24"/>
              </w:rPr>
              <w:t xml:space="preserve"> arrangements for health oversight became less reliable, and Edward’s mum quickly lost trust with staff. There was less identifiable need for social work involvement as there were no social interventions identified, particularly as the recall of the Legal Panel did not take place. The longstanding social worker also became unavailable during this period.</w:t>
            </w:r>
          </w:p>
          <w:p w:rsidR="00A335EC" w:rsidRPr="00681267" w:rsidRDefault="00A335EC" w:rsidP="00C8642D">
            <w:pPr>
              <w:rPr>
                <w:rFonts w:ascii="Arial" w:hAnsi="Arial" w:cs="Arial"/>
                <w:color w:val="000000"/>
                <w:sz w:val="24"/>
                <w:szCs w:val="24"/>
              </w:rPr>
            </w:pPr>
          </w:p>
        </w:tc>
      </w:tr>
      <w:tr w:rsidR="00A335EC" w:rsidRPr="00681267" w:rsidTr="00A335EC">
        <w:tc>
          <w:tcPr>
            <w:tcW w:w="1242" w:type="dxa"/>
          </w:tcPr>
          <w:p w:rsidR="00A335EC" w:rsidRPr="0032599F" w:rsidRDefault="0032599F" w:rsidP="0067158B">
            <w:pPr>
              <w:rPr>
                <w:rFonts w:ascii="Arial" w:hAnsi="Arial" w:cs="Arial"/>
                <w:sz w:val="24"/>
                <w:szCs w:val="24"/>
              </w:rPr>
            </w:pPr>
            <w:r w:rsidRPr="0032599F">
              <w:rPr>
                <w:rFonts w:ascii="Arial" w:hAnsi="Arial" w:cs="Arial"/>
                <w:sz w:val="24"/>
                <w:szCs w:val="24"/>
              </w:rPr>
              <w:t>4.28</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 xml:space="preserve">When families are complex in their internal relationships and do not respond in ways that welcome support even though in practical terms it </w:t>
            </w:r>
            <w:r>
              <w:rPr>
                <w:rFonts w:ascii="Arial" w:hAnsi="Arial" w:cs="Arial"/>
                <w:color w:val="000000"/>
                <w:sz w:val="24"/>
                <w:szCs w:val="24"/>
              </w:rPr>
              <w:lastRenderedPageBreak/>
              <w:t xml:space="preserve">would probably be in their best interests to receive it, their relationships with individual workers and those workers relationships with each other can </w:t>
            </w:r>
            <w:r w:rsidR="00186194">
              <w:rPr>
                <w:rFonts w:ascii="Arial" w:hAnsi="Arial" w:cs="Arial"/>
                <w:color w:val="000000"/>
                <w:sz w:val="24"/>
                <w:szCs w:val="24"/>
              </w:rPr>
              <w:t>be</w:t>
            </w:r>
            <w:r>
              <w:rPr>
                <w:rFonts w:ascii="Arial" w:hAnsi="Arial" w:cs="Arial"/>
                <w:color w:val="000000"/>
                <w:sz w:val="24"/>
                <w:szCs w:val="24"/>
              </w:rPr>
              <w:t xml:space="preserve"> critical to identifying and managing escalating risks.</w:t>
            </w:r>
          </w:p>
          <w:p w:rsidR="00A335EC" w:rsidRDefault="00A335EC" w:rsidP="00C8642D">
            <w:pPr>
              <w:rPr>
                <w:rFonts w:ascii="Arial" w:hAnsi="Arial" w:cs="Arial"/>
                <w:color w:val="000000"/>
                <w:sz w:val="24"/>
                <w:szCs w:val="24"/>
              </w:rPr>
            </w:pPr>
            <w:r>
              <w:rPr>
                <w:rFonts w:ascii="Arial" w:hAnsi="Arial" w:cs="Arial"/>
                <w:color w:val="000000"/>
                <w:sz w:val="24"/>
                <w:szCs w:val="24"/>
              </w:rPr>
              <w:t xml:space="preserve"> </w:t>
            </w:r>
          </w:p>
        </w:tc>
      </w:tr>
      <w:tr w:rsidR="00A335EC" w:rsidRPr="00681267" w:rsidTr="00A335EC">
        <w:tc>
          <w:tcPr>
            <w:tcW w:w="1242" w:type="dxa"/>
          </w:tcPr>
          <w:p w:rsidR="00A335EC" w:rsidRPr="00317BFC" w:rsidRDefault="0032599F" w:rsidP="0067158B">
            <w:pPr>
              <w:rPr>
                <w:rFonts w:ascii="Arial" w:hAnsi="Arial" w:cs="Arial"/>
                <w:sz w:val="24"/>
                <w:szCs w:val="24"/>
              </w:rPr>
            </w:pPr>
            <w:r w:rsidRPr="00317BFC">
              <w:rPr>
                <w:rFonts w:ascii="Arial" w:hAnsi="Arial" w:cs="Arial"/>
                <w:sz w:val="24"/>
                <w:szCs w:val="24"/>
              </w:rPr>
              <w:lastRenderedPageBreak/>
              <w:t>4.29</w:t>
            </w:r>
          </w:p>
        </w:tc>
        <w:tc>
          <w:tcPr>
            <w:tcW w:w="8000" w:type="dxa"/>
          </w:tcPr>
          <w:p w:rsidR="00A335EC" w:rsidRPr="00317BFC" w:rsidRDefault="00A335EC" w:rsidP="00C8642D">
            <w:pPr>
              <w:rPr>
                <w:rFonts w:ascii="Arial" w:hAnsi="Arial" w:cs="Arial"/>
                <w:sz w:val="24"/>
                <w:szCs w:val="24"/>
              </w:rPr>
            </w:pPr>
            <w:r w:rsidRPr="00317BFC">
              <w:rPr>
                <w:rFonts w:ascii="Arial" w:hAnsi="Arial" w:cs="Arial"/>
                <w:sz w:val="24"/>
                <w:szCs w:val="24"/>
              </w:rPr>
              <w:t xml:space="preserve">When Edward had his first reported seizure in October 2014 he was taken to AED at Aintree hospital as he had also had a fall. He was discharged home with an appointment for the Epilepsy Clinic the following month. There is only a brief reference to this </w:t>
            </w:r>
            <w:r w:rsidR="00186194">
              <w:rPr>
                <w:rFonts w:ascii="Arial" w:hAnsi="Arial" w:cs="Arial"/>
                <w:sz w:val="24"/>
                <w:szCs w:val="24"/>
              </w:rPr>
              <w:t>in</w:t>
            </w:r>
            <w:r w:rsidRPr="00317BFC">
              <w:rPr>
                <w:rFonts w:ascii="Arial" w:hAnsi="Arial" w:cs="Arial"/>
                <w:sz w:val="24"/>
                <w:szCs w:val="24"/>
              </w:rPr>
              <w:t xml:space="preserve"> the GP chronology and a seeming lack of concern and curiosity about this seizure by agencies. His mum was advised to cancel the Epilepsy Clinic appointment until his other health problems were sorted.</w:t>
            </w:r>
            <w:r w:rsidR="008232BD" w:rsidRPr="00317BFC">
              <w:rPr>
                <w:rFonts w:ascii="Arial" w:hAnsi="Arial" w:cs="Arial"/>
                <w:sz w:val="24"/>
                <w:szCs w:val="24"/>
              </w:rPr>
              <w:t xml:space="preserve"> This would have fitted well with Edward’s mum’s belief system as she and</w:t>
            </w:r>
            <w:r w:rsidR="008232BD">
              <w:rPr>
                <w:rFonts w:ascii="Arial" w:hAnsi="Arial" w:cs="Arial"/>
                <w:sz w:val="24"/>
                <w:szCs w:val="24"/>
              </w:rPr>
              <w:t xml:space="preserve"> one of</w:t>
            </w:r>
            <w:r w:rsidR="008232BD" w:rsidRPr="00317BFC">
              <w:rPr>
                <w:rFonts w:ascii="Arial" w:hAnsi="Arial" w:cs="Arial"/>
                <w:sz w:val="24"/>
                <w:szCs w:val="24"/>
              </w:rPr>
              <w:t xml:space="preserve"> her daughter</w:t>
            </w:r>
            <w:r w:rsidR="008232BD">
              <w:rPr>
                <w:rFonts w:ascii="Arial" w:hAnsi="Arial" w:cs="Arial"/>
                <w:sz w:val="24"/>
                <w:szCs w:val="24"/>
              </w:rPr>
              <w:t>s</w:t>
            </w:r>
            <w:r w:rsidR="008232BD" w:rsidRPr="00317BFC">
              <w:rPr>
                <w:rFonts w:ascii="Arial" w:hAnsi="Arial" w:cs="Arial"/>
                <w:sz w:val="24"/>
                <w:szCs w:val="24"/>
              </w:rPr>
              <w:t xml:space="preserve"> had expressed scepticism that he had </w:t>
            </w:r>
            <w:r w:rsidR="008232BD">
              <w:rPr>
                <w:rFonts w:ascii="Arial" w:hAnsi="Arial" w:cs="Arial"/>
                <w:sz w:val="24"/>
                <w:szCs w:val="24"/>
              </w:rPr>
              <w:t>“</w:t>
            </w:r>
            <w:r w:rsidR="008232BD" w:rsidRPr="00317BFC">
              <w:rPr>
                <w:rFonts w:ascii="Arial" w:hAnsi="Arial" w:cs="Arial"/>
                <w:sz w:val="24"/>
                <w:szCs w:val="24"/>
              </w:rPr>
              <w:t>fits</w:t>
            </w:r>
            <w:r w:rsidR="008232BD">
              <w:rPr>
                <w:rFonts w:ascii="Arial" w:hAnsi="Arial" w:cs="Arial"/>
                <w:sz w:val="24"/>
                <w:szCs w:val="24"/>
              </w:rPr>
              <w:t>”</w:t>
            </w:r>
            <w:r w:rsidR="008232BD" w:rsidRPr="00317BFC">
              <w:rPr>
                <w:rFonts w:ascii="Arial" w:hAnsi="Arial" w:cs="Arial"/>
                <w:sz w:val="24"/>
                <w:szCs w:val="24"/>
              </w:rPr>
              <w:t xml:space="preserve"> and she appears to have been generally opposed to some forms of medication.</w:t>
            </w:r>
          </w:p>
          <w:p w:rsidR="00A335EC" w:rsidRPr="00317BFC" w:rsidRDefault="00A335EC" w:rsidP="00C8642D">
            <w:pPr>
              <w:rPr>
                <w:rFonts w:ascii="Arial" w:hAnsi="Arial" w:cs="Arial"/>
                <w:color w:val="000000"/>
                <w:sz w:val="24"/>
                <w:szCs w:val="24"/>
              </w:rPr>
            </w:pPr>
          </w:p>
        </w:tc>
      </w:tr>
      <w:tr w:rsidR="00A335EC" w:rsidRPr="00681267" w:rsidTr="00A335EC">
        <w:tc>
          <w:tcPr>
            <w:tcW w:w="1242" w:type="dxa"/>
          </w:tcPr>
          <w:p w:rsidR="00A335EC" w:rsidRPr="00317BFC" w:rsidRDefault="0032599F" w:rsidP="0067158B">
            <w:pPr>
              <w:rPr>
                <w:rFonts w:ascii="Arial" w:hAnsi="Arial" w:cs="Arial"/>
                <w:sz w:val="24"/>
                <w:szCs w:val="24"/>
              </w:rPr>
            </w:pPr>
            <w:r w:rsidRPr="00317BFC">
              <w:rPr>
                <w:rFonts w:ascii="Arial" w:hAnsi="Arial" w:cs="Arial"/>
                <w:sz w:val="24"/>
                <w:szCs w:val="24"/>
              </w:rPr>
              <w:t>4.30</w:t>
            </w:r>
          </w:p>
          <w:p w:rsidR="0032599F" w:rsidRPr="00317BFC" w:rsidRDefault="0032599F" w:rsidP="0067158B">
            <w:pPr>
              <w:rPr>
                <w:rFonts w:ascii="Arial" w:hAnsi="Arial" w:cs="Arial"/>
                <w:sz w:val="24"/>
                <w:szCs w:val="24"/>
              </w:rPr>
            </w:pPr>
          </w:p>
          <w:p w:rsidR="0032599F" w:rsidRPr="00317BFC" w:rsidRDefault="0032599F" w:rsidP="0067158B">
            <w:pPr>
              <w:rPr>
                <w:rFonts w:ascii="Arial" w:hAnsi="Arial" w:cs="Arial"/>
                <w:sz w:val="24"/>
                <w:szCs w:val="24"/>
              </w:rPr>
            </w:pPr>
          </w:p>
          <w:p w:rsidR="0032599F" w:rsidRPr="00317BFC" w:rsidRDefault="0032599F" w:rsidP="0067158B">
            <w:pPr>
              <w:rPr>
                <w:rFonts w:ascii="Arial" w:hAnsi="Arial" w:cs="Arial"/>
                <w:sz w:val="24"/>
                <w:szCs w:val="24"/>
              </w:rPr>
            </w:pPr>
          </w:p>
          <w:p w:rsidR="0032599F" w:rsidRPr="00317BFC" w:rsidRDefault="0032599F" w:rsidP="0067158B">
            <w:pPr>
              <w:rPr>
                <w:rFonts w:ascii="Arial" w:hAnsi="Arial" w:cs="Arial"/>
                <w:sz w:val="24"/>
                <w:szCs w:val="24"/>
              </w:rPr>
            </w:pPr>
          </w:p>
          <w:p w:rsidR="0032599F" w:rsidRPr="00317BFC" w:rsidRDefault="0032599F" w:rsidP="0067158B">
            <w:pPr>
              <w:rPr>
                <w:rFonts w:ascii="Arial" w:hAnsi="Arial" w:cs="Arial"/>
                <w:sz w:val="24"/>
                <w:szCs w:val="24"/>
              </w:rPr>
            </w:pPr>
          </w:p>
        </w:tc>
        <w:tc>
          <w:tcPr>
            <w:tcW w:w="8000" w:type="dxa"/>
          </w:tcPr>
          <w:p w:rsidR="00A335EC" w:rsidRPr="00317BFC" w:rsidRDefault="00A335EC" w:rsidP="00C8642D">
            <w:pPr>
              <w:rPr>
                <w:rFonts w:ascii="Arial" w:hAnsi="Arial" w:cs="Arial"/>
                <w:sz w:val="24"/>
                <w:szCs w:val="24"/>
              </w:rPr>
            </w:pPr>
            <w:r w:rsidRPr="00317BFC">
              <w:rPr>
                <w:rFonts w:ascii="Arial" w:hAnsi="Arial" w:cs="Arial"/>
                <w:sz w:val="24"/>
                <w:szCs w:val="24"/>
              </w:rPr>
              <w:t xml:space="preserve">It is also surprising after the second, more serious seizure and subsequent two week stay in hospital, that Edward’s mum was told she could </w:t>
            </w:r>
            <w:r w:rsidR="008232BD">
              <w:rPr>
                <w:rFonts w:ascii="Arial" w:hAnsi="Arial" w:cs="Arial"/>
                <w:sz w:val="24"/>
                <w:szCs w:val="24"/>
              </w:rPr>
              <w:t>“</w:t>
            </w:r>
            <w:r w:rsidR="00E025A0">
              <w:rPr>
                <w:rFonts w:ascii="Arial" w:hAnsi="Arial" w:cs="Arial"/>
                <w:sz w:val="24"/>
                <w:szCs w:val="24"/>
              </w:rPr>
              <w:t>choose</w:t>
            </w:r>
            <w:r w:rsidR="008232BD">
              <w:rPr>
                <w:rFonts w:ascii="Arial" w:hAnsi="Arial" w:cs="Arial"/>
                <w:sz w:val="24"/>
                <w:szCs w:val="24"/>
              </w:rPr>
              <w:t>”</w:t>
            </w:r>
            <w:r w:rsidRPr="00317BFC">
              <w:rPr>
                <w:rFonts w:ascii="Arial" w:hAnsi="Arial" w:cs="Arial"/>
                <w:sz w:val="24"/>
                <w:szCs w:val="24"/>
              </w:rPr>
              <w:t xml:space="preserve"> whether she received support to enable Edward to attend outpatient appointments after his discharge. She appeared to the Mersey Care staff who visited her, to be giving him his epilepsy medication but she had expressed some problems in getting prescriptions, </w:t>
            </w:r>
            <w:r w:rsidR="001C419A" w:rsidRPr="00E025A0">
              <w:rPr>
                <w:rFonts w:ascii="Arial" w:hAnsi="Arial" w:cs="Arial"/>
                <w:sz w:val="24"/>
                <w:szCs w:val="24"/>
              </w:rPr>
              <w:t xml:space="preserve">though </w:t>
            </w:r>
            <w:r w:rsidR="00E025A0" w:rsidRPr="00E025A0">
              <w:rPr>
                <w:rFonts w:ascii="Arial" w:hAnsi="Arial" w:cs="Arial"/>
                <w:sz w:val="24"/>
                <w:szCs w:val="24"/>
              </w:rPr>
              <w:t>she declined help with prescription delivery.</w:t>
            </w:r>
            <w:r w:rsidRPr="00317BFC">
              <w:rPr>
                <w:rFonts w:ascii="Arial" w:hAnsi="Arial" w:cs="Arial"/>
                <w:sz w:val="24"/>
                <w:szCs w:val="24"/>
              </w:rPr>
              <w:t xml:space="preserve"> </w:t>
            </w:r>
          </w:p>
          <w:p w:rsidR="00A335EC" w:rsidRPr="00317BFC" w:rsidRDefault="00A335EC" w:rsidP="00C8642D">
            <w:pPr>
              <w:rPr>
                <w:rFonts w:ascii="Arial" w:hAnsi="Arial" w:cs="Arial"/>
                <w:sz w:val="24"/>
                <w:szCs w:val="24"/>
              </w:rPr>
            </w:pPr>
          </w:p>
        </w:tc>
      </w:tr>
      <w:tr w:rsidR="00A335EC" w:rsidRPr="00681267" w:rsidTr="00A335EC">
        <w:tc>
          <w:tcPr>
            <w:tcW w:w="1242" w:type="dxa"/>
          </w:tcPr>
          <w:p w:rsidR="00A335EC" w:rsidRPr="00BC3A2E" w:rsidRDefault="0032599F" w:rsidP="0067158B">
            <w:pPr>
              <w:rPr>
                <w:rFonts w:ascii="Arial" w:hAnsi="Arial" w:cs="Arial"/>
                <w:sz w:val="24"/>
                <w:szCs w:val="24"/>
                <w:highlight w:val="yellow"/>
              </w:rPr>
            </w:pPr>
            <w:r w:rsidRPr="0032599F">
              <w:rPr>
                <w:rFonts w:ascii="Arial" w:hAnsi="Arial" w:cs="Arial"/>
                <w:sz w:val="24"/>
                <w:szCs w:val="24"/>
              </w:rPr>
              <w:t>4.31</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 xml:space="preserve">The period when Edward was in hospital was a significant missed opportunity for a full multi-agency meeting with legal input to be convened to consider his needs and the </w:t>
            </w:r>
            <w:r w:rsidR="00317BFC">
              <w:rPr>
                <w:rFonts w:ascii="Arial" w:hAnsi="Arial" w:cs="Arial"/>
                <w:color w:val="000000"/>
                <w:sz w:val="24"/>
                <w:szCs w:val="24"/>
              </w:rPr>
              <w:t>difficulties</w:t>
            </w:r>
            <w:r>
              <w:rPr>
                <w:rFonts w:ascii="Arial" w:hAnsi="Arial" w:cs="Arial"/>
                <w:color w:val="000000"/>
                <w:sz w:val="24"/>
                <w:szCs w:val="24"/>
              </w:rPr>
              <w:t xml:space="preserve"> his mum </w:t>
            </w:r>
            <w:r w:rsidR="00317BFC">
              <w:rPr>
                <w:rFonts w:ascii="Arial" w:hAnsi="Arial" w:cs="Arial"/>
                <w:color w:val="000000"/>
                <w:sz w:val="24"/>
                <w:szCs w:val="24"/>
              </w:rPr>
              <w:t>had in accepting that</w:t>
            </w:r>
            <w:r>
              <w:rPr>
                <w:rFonts w:ascii="Arial" w:hAnsi="Arial" w:cs="Arial"/>
                <w:color w:val="000000"/>
                <w:sz w:val="24"/>
                <w:szCs w:val="24"/>
              </w:rPr>
              <w:t xml:space="preserve"> professional staff </w:t>
            </w:r>
            <w:r w:rsidR="00317BFC">
              <w:rPr>
                <w:rFonts w:ascii="Arial" w:hAnsi="Arial" w:cs="Arial"/>
                <w:color w:val="000000"/>
                <w:sz w:val="24"/>
                <w:szCs w:val="24"/>
              </w:rPr>
              <w:t>were working in</w:t>
            </w:r>
            <w:r>
              <w:rPr>
                <w:rFonts w:ascii="Arial" w:hAnsi="Arial" w:cs="Arial"/>
                <w:color w:val="000000"/>
                <w:sz w:val="24"/>
                <w:szCs w:val="24"/>
              </w:rPr>
              <w:t xml:space="preserve"> her son’s best interest. </w:t>
            </w:r>
          </w:p>
          <w:p w:rsidR="00A335EC" w:rsidRPr="00681267" w:rsidRDefault="00A335EC" w:rsidP="00C8642D">
            <w:pPr>
              <w:rPr>
                <w:rFonts w:ascii="Arial" w:hAnsi="Arial" w:cs="Arial"/>
                <w:color w:val="000000"/>
                <w:sz w:val="24"/>
                <w:szCs w:val="24"/>
              </w:rPr>
            </w:pPr>
            <w:r>
              <w:rPr>
                <w:rFonts w:ascii="Arial" w:hAnsi="Arial" w:cs="Arial"/>
                <w:color w:val="000000"/>
                <w:sz w:val="24"/>
                <w:szCs w:val="24"/>
              </w:rPr>
              <w:t xml:space="preserve">  </w:t>
            </w:r>
          </w:p>
        </w:tc>
      </w:tr>
      <w:tr w:rsidR="00A335EC" w:rsidRPr="00681267" w:rsidTr="00A335EC">
        <w:tc>
          <w:tcPr>
            <w:tcW w:w="1242" w:type="dxa"/>
          </w:tcPr>
          <w:p w:rsidR="00A335EC" w:rsidRPr="00DE3739" w:rsidRDefault="0032599F" w:rsidP="0067158B">
            <w:pPr>
              <w:rPr>
                <w:rFonts w:ascii="Arial" w:hAnsi="Arial" w:cs="Arial"/>
                <w:sz w:val="24"/>
                <w:szCs w:val="24"/>
              </w:rPr>
            </w:pPr>
            <w:r w:rsidRPr="00DE3739">
              <w:rPr>
                <w:rFonts w:ascii="Arial" w:hAnsi="Arial" w:cs="Arial"/>
                <w:sz w:val="24"/>
                <w:szCs w:val="24"/>
              </w:rPr>
              <w:t>4.32</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 xml:space="preserve">It did, however, coincide with his case </w:t>
            </w:r>
            <w:r w:rsidR="008232BD">
              <w:rPr>
                <w:rFonts w:ascii="Arial" w:hAnsi="Arial" w:cs="Arial"/>
                <w:color w:val="000000"/>
                <w:sz w:val="24"/>
                <w:szCs w:val="24"/>
              </w:rPr>
              <w:t>“</w:t>
            </w:r>
            <w:r>
              <w:rPr>
                <w:rFonts w:ascii="Arial" w:hAnsi="Arial" w:cs="Arial"/>
                <w:color w:val="000000"/>
                <w:sz w:val="24"/>
                <w:szCs w:val="24"/>
              </w:rPr>
              <w:t>being closed</w:t>
            </w:r>
            <w:r w:rsidR="008232BD">
              <w:rPr>
                <w:rFonts w:ascii="Arial" w:hAnsi="Arial" w:cs="Arial"/>
                <w:color w:val="000000"/>
                <w:sz w:val="24"/>
                <w:szCs w:val="24"/>
              </w:rPr>
              <w:t>”</w:t>
            </w:r>
            <w:r>
              <w:rPr>
                <w:rFonts w:ascii="Arial" w:hAnsi="Arial" w:cs="Arial"/>
                <w:color w:val="000000"/>
                <w:sz w:val="24"/>
                <w:szCs w:val="24"/>
              </w:rPr>
              <w:t xml:space="preserve"> to Mersey Care as he did not attend some diagnostic test hospital appointments and it was agreed that his health could be monitored by his GP, so there was no health facilitation needed from Mersey Care.</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DE3739" w:rsidRDefault="00DE3739" w:rsidP="0067158B">
            <w:pPr>
              <w:rPr>
                <w:rFonts w:ascii="Arial" w:hAnsi="Arial" w:cs="Arial"/>
                <w:sz w:val="24"/>
                <w:szCs w:val="24"/>
              </w:rPr>
            </w:pPr>
            <w:r w:rsidRPr="00DE3739">
              <w:rPr>
                <w:rFonts w:ascii="Arial" w:hAnsi="Arial" w:cs="Arial"/>
                <w:sz w:val="24"/>
                <w:szCs w:val="24"/>
              </w:rPr>
              <w:t>4.33</w:t>
            </w:r>
          </w:p>
        </w:tc>
        <w:tc>
          <w:tcPr>
            <w:tcW w:w="8000" w:type="dxa"/>
          </w:tcPr>
          <w:p w:rsidR="00A335EC" w:rsidRDefault="00A335EC" w:rsidP="00C8642D">
            <w:pPr>
              <w:rPr>
                <w:rFonts w:ascii="Arial" w:hAnsi="Arial" w:cs="Arial"/>
                <w:color w:val="000000"/>
                <w:sz w:val="24"/>
                <w:szCs w:val="24"/>
              </w:rPr>
            </w:pPr>
            <w:r>
              <w:rPr>
                <w:rFonts w:ascii="Arial" w:hAnsi="Arial" w:cs="Arial"/>
                <w:color w:val="000000"/>
                <w:sz w:val="24"/>
                <w:szCs w:val="24"/>
              </w:rPr>
              <w:t>At the same time the long standing social worker was also no longer available to try to engage with the family. Edward’s mum was also more suspicious of her GP’s intervention.</w:t>
            </w:r>
          </w:p>
          <w:p w:rsidR="00A335EC" w:rsidRDefault="00A335EC" w:rsidP="00C8642D">
            <w:pPr>
              <w:rPr>
                <w:rFonts w:ascii="Arial" w:hAnsi="Arial" w:cs="Arial"/>
                <w:color w:val="000000"/>
                <w:sz w:val="24"/>
                <w:szCs w:val="24"/>
              </w:rPr>
            </w:pPr>
          </w:p>
        </w:tc>
      </w:tr>
      <w:tr w:rsidR="00A335EC" w:rsidRPr="00681267" w:rsidTr="00A335EC">
        <w:tc>
          <w:tcPr>
            <w:tcW w:w="1242" w:type="dxa"/>
          </w:tcPr>
          <w:p w:rsidR="00A335EC" w:rsidRPr="00BC3A2E" w:rsidRDefault="00DE3739" w:rsidP="0067158B">
            <w:pPr>
              <w:rPr>
                <w:rFonts w:ascii="Arial" w:hAnsi="Arial" w:cs="Arial"/>
                <w:sz w:val="24"/>
                <w:szCs w:val="24"/>
                <w:highlight w:val="yellow"/>
              </w:rPr>
            </w:pPr>
            <w:r w:rsidRPr="00DE3739">
              <w:rPr>
                <w:rFonts w:ascii="Arial" w:hAnsi="Arial" w:cs="Arial"/>
                <w:sz w:val="24"/>
                <w:szCs w:val="24"/>
              </w:rPr>
              <w:t>4.34</w:t>
            </w:r>
          </w:p>
        </w:tc>
        <w:tc>
          <w:tcPr>
            <w:tcW w:w="8000" w:type="dxa"/>
          </w:tcPr>
          <w:p w:rsidR="00A335EC" w:rsidRDefault="00A335EC" w:rsidP="00C8642D">
            <w:pPr>
              <w:rPr>
                <w:rFonts w:ascii="Arial" w:hAnsi="Arial" w:cs="Arial"/>
                <w:sz w:val="24"/>
                <w:szCs w:val="24"/>
              </w:rPr>
            </w:pPr>
            <w:r>
              <w:rPr>
                <w:rFonts w:ascii="Arial" w:hAnsi="Arial" w:cs="Arial"/>
                <w:sz w:val="24"/>
                <w:szCs w:val="24"/>
              </w:rPr>
              <w:t xml:space="preserve">Staff can feel great sympathy for carers who have cared relentlessly for years. They can lose focus on the adult being cared for, particularly when the adult is not able to assert themselves to express their wishes. This is even more difficult when all family members have areas of vulnerability due to physical and/or mental difficulties. </w:t>
            </w:r>
            <w:r w:rsidR="00317BFC">
              <w:rPr>
                <w:rFonts w:ascii="Arial" w:hAnsi="Arial" w:cs="Arial"/>
                <w:sz w:val="24"/>
                <w:szCs w:val="24"/>
              </w:rPr>
              <w:t xml:space="preserve">Edward’s mum experienced </w:t>
            </w:r>
            <w:r w:rsidR="0054071D">
              <w:rPr>
                <w:rFonts w:ascii="Arial" w:hAnsi="Arial" w:cs="Arial"/>
                <w:sz w:val="24"/>
                <w:szCs w:val="24"/>
              </w:rPr>
              <w:t xml:space="preserve">the pain of </w:t>
            </w:r>
            <w:r w:rsidR="00317BFC">
              <w:rPr>
                <w:rFonts w:ascii="Arial" w:hAnsi="Arial" w:cs="Arial"/>
                <w:sz w:val="24"/>
                <w:szCs w:val="24"/>
              </w:rPr>
              <w:t>him being taunted</w:t>
            </w:r>
            <w:r w:rsidR="0054071D">
              <w:rPr>
                <w:rFonts w:ascii="Arial" w:hAnsi="Arial" w:cs="Arial"/>
                <w:sz w:val="24"/>
                <w:szCs w:val="24"/>
              </w:rPr>
              <w:t xml:space="preserve"> because he was different</w:t>
            </w:r>
            <w:r w:rsidR="001B2026">
              <w:rPr>
                <w:rFonts w:ascii="Arial" w:hAnsi="Arial" w:cs="Arial"/>
                <w:sz w:val="24"/>
                <w:szCs w:val="24"/>
              </w:rPr>
              <w:t xml:space="preserve">, </w:t>
            </w:r>
            <w:r w:rsidR="0054071D">
              <w:rPr>
                <w:rFonts w:ascii="Arial" w:hAnsi="Arial" w:cs="Arial"/>
                <w:sz w:val="24"/>
                <w:szCs w:val="24"/>
              </w:rPr>
              <w:t>and strongly b</w:t>
            </w:r>
            <w:r w:rsidR="00317BFC">
              <w:rPr>
                <w:rFonts w:ascii="Arial" w:hAnsi="Arial" w:cs="Arial"/>
                <w:sz w:val="24"/>
                <w:szCs w:val="24"/>
              </w:rPr>
              <w:t>elieved it was her purpose to care and protect him</w:t>
            </w:r>
            <w:r w:rsidR="0054071D">
              <w:rPr>
                <w:rFonts w:ascii="Arial" w:hAnsi="Arial" w:cs="Arial"/>
                <w:sz w:val="24"/>
                <w:szCs w:val="24"/>
              </w:rPr>
              <w:t xml:space="preserve">. </w:t>
            </w:r>
            <w:r w:rsidRPr="004209CA">
              <w:rPr>
                <w:rFonts w:ascii="Arial" w:hAnsi="Arial" w:cs="Arial"/>
                <w:sz w:val="24"/>
                <w:szCs w:val="24"/>
              </w:rPr>
              <w:t xml:space="preserve">However, it could be argued that </w:t>
            </w:r>
            <w:r>
              <w:rPr>
                <w:rFonts w:ascii="Arial" w:hAnsi="Arial" w:cs="Arial"/>
                <w:sz w:val="24"/>
                <w:szCs w:val="24"/>
              </w:rPr>
              <w:t>Edward</w:t>
            </w:r>
            <w:r w:rsidRPr="004209CA">
              <w:rPr>
                <w:rFonts w:ascii="Arial" w:hAnsi="Arial" w:cs="Arial"/>
                <w:sz w:val="24"/>
                <w:szCs w:val="24"/>
              </w:rPr>
              <w:t xml:space="preserve"> was living in a closed and restricted environment</w:t>
            </w:r>
            <w:r w:rsidR="008232BD">
              <w:rPr>
                <w:rFonts w:ascii="Arial" w:hAnsi="Arial" w:cs="Arial"/>
                <w:sz w:val="24"/>
                <w:szCs w:val="24"/>
              </w:rPr>
              <w:t xml:space="preserve"> and</w:t>
            </w:r>
            <w:r w:rsidRPr="004209CA">
              <w:rPr>
                <w:rFonts w:ascii="Arial" w:hAnsi="Arial" w:cs="Arial"/>
                <w:sz w:val="24"/>
                <w:szCs w:val="24"/>
              </w:rPr>
              <w:t xml:space="preserve"> possibly </w:t>
            </w:r>
            <w:r>
              <w:rPr>
                <w:rFonts w:ascii="Arial" w:hAnsi="Arial" w:cs="Arial"/>
                <w:sz w:val="24"/>
                <w:szCs w:val="24"/>
              </w:rPr>
              <w:t xml:space="preserve">not having </w:t>
            </w:r>
            <w:r w:rsidR="00317BFC">
              <w:rPr>
                <w:rFonts w:ascii="Arial" w:hAnsi="Arial" w:cs="Arial"/>
                <w:sz w:val="24"/>
                <w:szCs w:val="24"/>
              </w:rPr>
              <w:t>consistent</w:t>
            </w:r>
            <w:r w:rsidR="006A3DE1">
              <w:rPr>
                <w:rFonts w:ascii="Arial" w:hAnsi="Arial" w:cs="Arial"/>
                <w:sz w:val="24"/>
                <w:szCs w:val="24"/>
              </w:rPr>
              <w:t xml:space="preserve"> </w:t>
            </w:r>
            <w:r>
              <w:rPr>
                <w:rFonts w:ascii="Arial" w:hAnsi="Arial" w:cs="Arial"/>
                <w:sz w:val="24"/>
                <w:szCs w:val="24"/>
              </w:rPr>
              <w:t>access to</w:t>
            </w:r>
            <w:r w:rsidRPr="004209CA">
              <w:rPr>
                <w:rFonts w:ascii="Arial" w:hAnsi="Arial" w:cs="Arial"/>
                <w:sz w:val="24"/>
                <w:szCs w:val="24"/>
              </w:rPr>
              <w:t xml:space="preserve"> </w:t>
            </w:r>
            <w:r w:rsidR="00317BFC">
              <w:rPr>
                <w:rFonts w:ascii="Arial" w:hAnsi="Arial" w:cs="Arial"/>
                <w:sz w:val="24"/>
                <w:szCs w:val="24"/>
              </w:rPr>
              <w:t xml:space="preserve">vital </w:t>
            </w:r>
            <w:r w:rsidRPr="004209CA">
              <w:rPr>
                <w:rFonts w:ascii="Arial" w:hAnsi="Arial" w:cs="Arial"/>
                <w:sz w:val="24"/>
                <w:szCs w:val="24"/>
              </w:rPr>
              <w:t>medication</w:t>
            </w:r>
            <w:r>
              <w:rPr>
                <w:rFonts w:ascii="Arial" w:hAnsi="Arial" w:cs="Arial"/>
                <w:sz w:val="24"/>
                <w:szCs w:val="24"/>
              </w:rPr>
              <w:t xml:space="preserve">. </w:t>
            </w:r>
            <w:r w:rsidRPr="004209CA">
              <w:rPr>
                <w:rFonts w:ascii="Arial" w:hAnsi="Arial" w:cs="Arial"/>
                <w:sz w:val="24"/>
                <w:szCs w:val="24"/>
              </w:rPr>
              <w:t xml:space="preserve">Such </w:t>
            </w:r>
            <w:r>
              <w:rPr>
                <w:rFonts w:ascii="Arial" w:hAnsi="Arial" w:cs="Arial"/>
                <w:sz w:val="24"/>
                <w:szCs w:val="24"/>
              </w:rPr>
              <w:t>practice</w:t>
            </w:r>
            <w:r w:rsidRPr="004209CA">
              <w:rPr>
                <w:rFonts w:ascii="Arial" w:hAnsi="Arial" w:cs="Arial"/>
                <w:sz w:val="24"/>
                <w:szCs w:val="24"/>
              </w:rPr>
              <w:t xml:space="preserve"> would not be </w:t>
            </w:r>
            <w:r w:rsidR="00E025A0">
              <w:rPr>
                <w:rFonts w:ascii="Arial" w:hAnsi="Arial" w:cs="Arial"/>
                <w:sz w:val="24"/>
                <w:szCs w:val="24"/>
              </w:rPr>
              <w:t>accepted</w:t>
            </w:r>
            <w:r w:rsidR="00E025A0" w:rsidRPr="004209CA">
              <w:rPr>
                <w:rFonts w:ascii="Arial" w:hAnsi="Arial" w:cs="Arial"/>
                <w:sz w:val="24"/>
                <w:szCs w:val="24"/>
              </w:rPr>
              <w:t xml:space="preserve"> </w:t>
            </w:r>
            <w:r w:rsidR="00E025A0">
              <w:rPr>
                <w:rFonts w:ascii="Arial" w:hAnsi="Arial" w:cs="Arial"/>
                <w:sz w:val="24"/>
                <w:szCs w:val="24"/>
              </w:rPr>
              <w:t xml:space="preserve">without legal authorisation </w:t>
            </w:r>
            <w:r w:rsidRPr="004209CA">
              <w:rPr>
                <w:rFonts w:ascii="Arial" w:hAnsi="Arial" w:cs="Arial"/>
                <w:sz w:val="24"/>
                <w:szCs w:val="24"/>
              </w:rPr>
              <w:t>in a regulated service</w:t>
            </w:r>
            <w:r w:rsidR="001B2026">
              <w:rPr>
                <w:rFonts w:ascii="Arial" w:hAnsi="Arial" w:cs="Arial"/>
                <w:sz w:val="24"/>
                <w:szCs w:val="24"/>
              </w:rPr>
              <w:t xml:space="preserve"> like a care home</w:t>
            </w:r>
            <w:r w:rsidRPr="004209CA">
              <w:rPr>
                <w:rFonts w:ascii="Arial" w:hAnsi="Arial" w:cs="Arial"/>
                <w:sz w:val="24"/>
                <w:szCs w:val="24"/>
              </w:rPr>
              <w:t>.</w:t>
            </w:r>
          </w:p>
          <w:p w:rsidR="00A335EC" w:rsidRDefault="00A335EC" w:rsidP="00C8642D">
            <w:pPr>
              <w:rPr>
                <w:rFonts w:ascii="Arial" w:hAnsi="Arial" w:cs="Arial"/>
                <w:color w:val="000000"/>
                <w:sz w:val="24"/>
                <w:szCs w:val="24"/>
              </w:rPr>
            </w:pPr>
          </w:p>
        </w:tc>
      </w:tr>
    </w:tbl>
    <w:p w:rsidR="00DF2A6B" w:rsidRDefault="00DF2A6B">
      <w:r>
        <w:br w:type="page"/>
      </w:r>
    </w:p>
    <w:p w:rsidR="00C311A1" w:rsidRPr="00C311A1" w:rsidRDefault="00C311A1" w:rsidP="009E52C3">
      <w:pPr>
        <w:rPr>
          <w:rFonts w:ascii="Arial" w:hAnsi="Arial" w:cs="Arial"/>
          <w:b/>
          <w:sz w:val="28"/>
          <w:szCs w:val="28"/>
        </w:rPr>
      </w:pPr>
      <w:r w:rsidRPr="00C311A1">
        <w:rPr>
          <w:rFonts w:ascii="Arial" w:hAnsi="Arial" w:cs="Arial"/>
          <w:b/>
          <w:sz w:val="28"/>
          <w:szCs w:val="28"/>
        </w:rPr>
        <w:lastRenderedPageBreak/>
        <w:t>5. Recommendations</w:t>
      </w:r>
    </w:p>
    <w:p w:rsidR="009E52C3" w:rsidRDefault="009E52C3" w:rsidP="009E52C3">
      <w:pPr>
        <w:rPr>
          <w:rFonts w:ascii="Arial" w:hAnsi="Arial" w:cs="Arial"/>
          <w:sz w:val="24"/>
          <w:szCs w:val="24"/>
        </w:rPr>
      </w:pPr>
      <w:r>
        <w:rPr>
          <w:rFonts w:ascii="Arial" w:hAnsi="Arial" w:cs="Arial"/>
          <w:sz w:val="24"/>
          <w:szCs w:val="24"/>
        </w:rPr>
        <w:t>5.1 Recommendations 1-6 are as a result of the SAR Panel deliberations following the early draft of this Report and are relevant directly to the LSAB and partner agencies.</w:t>
      </w:r>
    </w:p>
    <w:p w:rsidR="009E52C3" w:rsidRDefault="009E52C3" w:rsidP="009E52C3">
      <w:pPr>
        <w:rPr>
          <w:rFonts w:ascii="Arial" w:hAnsi="Arial" w:cs="Arial"/>
          <w:sz w:val="24"/>
          <w:szCs w:val="24"/>
        </w:rPr>
      </w:pPr>
      <w:r>
        <w:rPr>
          <w:rFonts w:ascii="Arial" w:hAnsi="Arial" w:cs="Arial"/>
          <w:sz w:val="24"/>
          <w:szCs w:val="24"/>
        </w:rPr>
        <w:t>5.2 Other recommendations in the appendices are relevant to particular organisations/service areas; some are the result of Panel deliberations, and some have been recommended by staff who attended the Share and Learn event; and there are three recommendations Edward’s mum suggested for inclusion in the Report.</w:t>
      </w:r>
    </w:p>
    <w:p w:rsidR="009E52C3" w:rsidRDefault="009E52C3" w:rsidP="009E52C3">
      <w:pPr>
        <w:rPr>
          <w:rFonts w:ascii="Arial" w:hAnsi="Arial" w:cs="Arial"/>
          <w:sz w:val="24"/>
          <w:szCs w:val="24"/>
        </w:rPr>
      </w:pPr>
      <w:r>
        <w:rPr>
          <w:rFonts w:ascii="Arial" w:hAnsi="Arial" w:cs="Arial"/>
          <w:sz w:val="24"/>
          <w:szCs w:val="24"/>
        </w:rPr>
        <w:t>5.3 It is not unusual for family/carers to be suspicious of interventions, particularly by social care workers. P</w:t>
      </w:r>
      <w:r w:rsidRPr="00103C5A">
        <w:rPr>
          <w:rFonts w:ascii="Arial" w:hAnsi="Arial" w:cs="Arial"/>
          <w:sz w:val="24"/>
          <w:szCs w:val="24"/>
        </w:rPr>
        <w:t xml:space="preserve">rofessionals with safeguarding responsibilities are particularly challenged to balance their support to maintain the caring unit </w:t>
      </w:r>
      <w:r>
        <w:rPr>
          <w:rFonts w:ascii="Arial" w:hAnsi="Arial" w:cs="Arial"/>
          <w:sz w:val="24"/>
          <w:szCs w:val="24"/>
        </w:rPr>
        <w:t>with</w:t>
      </w:r>
      <w:r w:rsidRPr="00103C5A">
        <w:rPr>
          <w:rFonts w:ascii="Arial" w:hAnsi="Arial" w:cs="Arial"/>
          <w:sz w:val="24"/>
          <w:szCs w:val="24"/>
        </w:rPr>
        <w:t xml:space="preserve"> the rights of the individual to be supported to make their own choices </w:t>
      </w:r>
      <w:r>
        <w:rPr>
          <w:rFonts w:ascii="Arial" w:hAnsi="Arial" w:cs="Arial"/>
          <w:sz w:val="24"/>
          <w:szCs w:val="24"/>
        </w:rPr>
        <w:t>about</w:t>
      </w:r>
      <w:r w:rsidRPr="00103C5A">
        <w:rPr>
          <w:rFonts w:ascii="Arial" w:hAnsi="Arial" w:cs="Arial"/>
          <w:sz w:val="24"/>
          <w:szCs w:val="24"/>
        </w:rPr>
        <w:t xml:space="preserve"> receiv</w:t>
      </w:r>
      <w:r>
        <w:rPr>
          <w:rFonts w:ascii="Arial" w:hAnsi="Arial" w:cs="Arial"/>
          <w:sz w:val="24"/>
          <w:szCs w:val="24"/>
        </w:rPr>
        <w:t xml:space="preserve">ing care and health interventions. It is important that preventive measures are taken to ensure the adult status of the person and their rights are made clear to families as early as possible, preferably during the transition period. </w:t>
      </w:r>
    </w:p>
    <w:p w:rsidR="009E52C3" w:rsidRPr="00DE3739" w:rsidRDefault="009E52C3" w:rsidP="009E52C3">
      <w:pPr>
        <w:rPr>
          <w:rFonts w:ascii="Arial" w:hAnsi="Arial" w:cs="Arial"/>
          <w:b/>
          <w:sz w:val="24"/>
          <w:szCs w:val="24"/>
        </w:rPr>
      </w:pPr>
      <w:r w:rsidRPr="00DE3739">
        <w:rPr>
          <w:rFonts w:ascii="Arial" w:hAnsi="Arial" w:cs="Arial"/>
          <w:b/>
          <w:sz w:val="24"/>
          <w:szCs w:val="24"/>
        </w:rPr>
        <w:t xml:space="preserve">Recommendations from Edward’s </w:t>
      </w:r>
      <w:r>
        <w:rPr>
          <w:rFonts w:ascii="Arial" w:hAnsi="Arial" w:cs="Arial"/>
          <w:b/>
          <w:sz w:val="24"/>
          <w:szCs w:val="24"/>
        </w:rPr>
        <w:t>mum</w:t>
      </w:r>
    </w:p>
    <w:p w:rsidR="009E52C3" w:rsidRPr="00681267" w:rsidRDefault="009E52C3" w:rsidP="009E52C3">
      <w:pPr>
        <w:numPr>
          <w:ilvl w:val="0"/>
          <w:numId w:val="3"/>
        </w:numPr>
        <w:rPr>
          <w:rFonts w:ascii="Arial" w:hAnsi="Arial" w:cs="Arial"/>
          <w:sz w:val="24"/>
          <w:szCs w:val="24"/>
        </w:rPr>
      </w:pPr>
      <w:r w:rsidRPr="00681267">
        <w:rPr>
          <w:rFonts w:ascii="Arial" w:hAnsi="Arial" w:cs="Arial"/>
          <w:sz w:val="24"/>
          <w:szCs w:val="24"/>
        </w:rPr>
        <w:t>Workers need to have respect for disabled people</w:t>
      </w:r>
    </w:p>
    <w:p w:rsidR="009E52C3" w:rsidRPr="00B10F57" w:rsidRDefault="009E52C3" w:rsidP="009E52C3">
      <w:pPr>
        <w:numPr>
          <w:ilvl w:val="0"/>
          <w:numId w:val="3"/>
        </w:numPr>
        <w:rPr>
          <w:rFonts w:ascii="Arial" w:hAnsi="Arial" w:cs="Arial"/>
          <w:b/>
          <w:sz w:val="24"/>
          <w:szCs w:val="24"/>
        </w:rPr>
      </w:pPr>
      <w:r w:rsidRPr="00B10F57">
        <w:rPr>
          <w:rFonts w:ascii="Arial" w:hAnsi="Arial" w:cs="Arial"/>
          <w:sz w:val="24"/>
          <w:szCs w:val="24"/>
        </w:rPr>
        <w:t>Workers need to listen to families and have respect for those who are closest to the disabled person</w:t>
      </w:r>
    </w:p>
    <w:p w:rsidR="009E52C3" w:rsidRPr="009E52C3" w:rsidRDefault="009E52C3" w:rsidP="009E52C3">
      <w:pPr>
        <w:numPr>
          <w:ilvl w:val="0"/>
          <w:numId w:val="3"/>
        </w:numPr>
        <w:rPr>
          <w:rFonts w:ascii="Arial" w:hAnsi="Arial" w:cs="Arial"/>
          <w:b/>
          <w:sz w:val="24"/>
          <w:szCs w:val="24"/>
        </w:rPr>
      </w:pPr>
      <w:r w:rsidRPr="009E52C3">
        <w:rPr>
          <w:rFonts w:ascii="Arial" w:hAnsi="Arial" w:cs="Arial"/>
          <w:sz w:val="24"/>
          <w:szCs w:val="24"/>
        </w:rPr>
        <w:t>Workers need to be better educated on how to treat disabled people</w:t>
      </w:r>
    </w:p>
    <w:p w:rsidR="009E52C3" w:rsidRPr="00BD5BF7" w:rsidRDefault="009E52C3" w:rsidP="009E52C3">
      <w:pPr>
        <w:rPr>
          <w:rFonts w:ascii="Arial" w:hAnsi="Arial" w:cs="Arial"/>
          <w:b/>
          <w:sz w:val="24"/>
          <w:szCs w:val="24"/>
        </w:rPr>
      </w:pPr>
      <w:r w:rsidRPr="00BD5BF7">
        <w:rPr>
          <w:rFonts w:ascii="Arial" w:hAnsi="Arial" w:cs="Arial"/>
          <w:b/>
          <w:sz w:val="24"/>
          <w:szCs w:val="24"/>
        </w:rPr>
        <w:t>Recommendations for L</w:t>
      </w:r>
      <w:r>
        <w:rPr>
          <w:rFonts w:ascii="Arial" w:hAnsi="Arial" w:cs="Arial"/>
          <w:b/>
          <w:sz w:val="24"/>
          <w:szCs w:val="24"/>
        </w:rPr>
        <w:t>iverpool Safeguarding Adults Board (L</w:t>
      </w:r>
      <w:r w:rsidRPr="00BD5BF7">
        <w:rPr>
          <w:rFonts w:ascii="Arial" w:hAnsi="Arial" w:cs="Arial"/>
          <w:b/>
          <w:sz w:val="24"/>
          <w:szCs w:val="24"/>
        </w:rPr>
        <w:t>SAB</w:t>
      </w:r>
      <w:r>
        <w:rPr>
          <w:rFonts w:ascii="Arial" w:hAnsi="Arial" w:cs="Arial"/>
          <w:b/>
          <w:sz w:val="24"/>
          <w:szCs w:val="24"/>
        </w:rPr>
        <w:t>)</w:t>
      </w:r>
    </w:p>
    <w:p w:rsidR="009E52C3" w:rsidRDefault="009E52C3" w:rsidP="009E52C3">
      <w:pPr>
        <w:pStyle w:val="ListParagraph"/>
        <w:numPr>
          <w:ilvl w:val="0"/>
          <w:numId w:val="25"/>
        </w:numPr>
      </w:pPr>
      <w:r>
        <w:t>Liverpool Safeguarding Adults Board (LSAB) should seek assurance from partner agencies that the human rights as well as the necessary health and social care and support needs of adults who may be at risk of abuse and neglect and are unable to protect themselves are understood by staff and discussed with family/carers  particularly at transition into adulthood</w:t>
      </w:r>
    </w:p>
    <w:p w:rsidR="009E52C3" w:rsidRDefault="009E52C3" w:rsidP="009E52C3">
      <w:pPr>
        <w:pStyle w:val="ListParagraph"/>
        <w:numPr>
          <w:ilvl w:val="0"/>
          <w:numId w:val="25"/>
        </w:numPr>
      </w:pPr>
      <w:r>
        <w:t>LSAB  should commission a  review of the current MASH arrangements to identify whether there are lessons to be learnt about flagging systems, information sharing, and information collation across partner agencies from the work done on referrals/concerns relating to at risk children</w:t>
      </w:r>
    </w:p>
    <w:p w:rsidR="009E52C3" w:rsidRDefault="009E52C3" w:rsidP="009E52C3">
      <w:pPr>
        <w:pStyle w:val="ListParagraph"/>
        <w:numPr>
          <w:ilvl w:val="0"/>
          <w:numId w:val="25"/>
        </w:numPr>
      </w:pPr>
      <w:r>
        <w:t>LSAB should assure itself that there are sufficient and fit for purpose advocacy services to directly represent/support adults who may be at risk (and separately if appropriate their carers) and that staff are knowledgeable and supportive of access to these services</w:t>
      </w:r>
    </w:p>
    <w:p w:rsidR="009E52C3" w:rsidRDefault="009E52C3" w:rsidP="009E52C3">
      <w:pPr>
        <w:pStyle w:val="ListParagraph"/>
        <w:numPr>
          <w:ilvl w:val="0"/>
          <w:numId w:val="25"/>
        </w:numPr>
      </w:pPr>
      <w:r>
        <w:t xml:space="preserve"> The LSAB should assure itself that health and social care staff have access to legal advice at an early stage when they experience or suspect avoidance/denial of access to adults cared for in families where there is resistance to intervention, particularly where it is known or suspected the adult does not have executive capacity to choose not to have interventions/contact</w:t>
      </w:r>
    </w:p>
    <w:p w:rsidR="009E52C3" w:rsidRDefault="009E52C3" w:rsidP="009E52C3">
      <w:pPr>
        <w:pStyle w:val="ListParagraph"/>
        <w:numPr>
          <w:ilvl w:val="0"/>
          <w:numId w:val="25"/>
        </w:numPr>
      </w:pPr>
      <w:r w:rsidRPr="00BD5BF7">
        <w:lastRenderedPageBreak/>
        <w:t>The LSAB should assure itself that agencies are cognisant of the Confidential Inquiry into premature deaths of people with learning disabilities</w:t>
      </w:r>
      <w:r>
        <w:t xml:space="preserve"> (CIPOLD) and are reviewing and reporting to the Board their progress against the recommendations to reduce premature deaths in Liverpool</w:t>
      </w:r>
    </w:p>
    <w:p w:rsidR="009E52C3" w:rsidRPr="009E52C3" w:rsidRDefault="009E52C3" w:rsidP="009E52C3">
      <w:pPr>
        <w:pStyle w:val="ListParagraph"/>
        <w:numPr>
          <w:ilvl w:val="0"/>
          <w:numId w:val="25"/>
        </w:numPr>
      </w:pPr>
      <w:r>
        <w:t>The LSAB should commission a training/staff development event for partner agencies to disseminate the findings of this SAR</w:t>
      </w:r>
    </w:p>
    <w:p w:rsidR="009E52C3" w:rsidRPr="009E52C3" w:rsidRDefault="009E52C3" w:rsidP="009E52C3">
      <w:pPr>
        <w:pStyle w:val="ListParagraph"/>
        <w:ind w:left="1080"/>
        <w:rPr>
          <w:b/>
          <w:sz w:val="28"/>
          <w:szCs w:val="28"/>
        </w:rPr>
      </w:pPr>
    </w:p>
    <w:p w:rsidR="00446A42" w:rsidRDefault="00DE3739" w:rsidP="00DE3739">
      <w:r w:rsidRPr="00A36E8C">
        <w:rPr>
          <w:rFonts w:ascii="Arial" w:hAnsi="Arial" w:cs="Arial"/>
          <w:b/>
          <w:sz w:val="24"/>
          <w:szCs w:val="24"/>
        </w:rPr>
        <w:t xml:space="preserve">Recommendations for </w:t>
      </w:r>
      <w:r>
        <w:rPr>
          <w:rFonts w:ascii="Arial" w:hAnsi="Arial" w:cs="Arial"/>
          <w:b/>
          <w:sz w:val="24"/>
          <w:szCs w:val="24"/>
        </w:rPr>
        <w:t>all agencies with direct safeguarding responsibilities, particularly Liverpool Adult Social Care and Mersey Care</w:t>
      </w:r>
    </w:p>
    <w:p w:rsidR="00446A42" w:rsidRDefault="00446A42" w:rsidP="006A3DE1">
      <w:pPr>
        <w:pStyle w:val="ListParagraph"/>
        <w:numPr>
          <w:ilvl w:val="0"/>
          <w:numId w:val="27"/>
        </w:numPr>
      </w:pPr>
      <w:r>
        <w:t xml:space="preserve"> </w:t>
      </w:r>
      <w:r w:rsidRPr="00932BAF">
        <w:t xml:space="preserve">A key worker should be identified for the potentially at risk </w:t>
      </w:r>
      <w:r w:rsidR="000645CA">
        <w:t xml:space="preserve">adult </w:t>
      </w:r>
      <w:r w:rsidR="00852908">
        <w:t xml:space="preserve">and </w:t>
      </w:r>
      <w:r w:rsidRPr="00932BAF">
        <w:t xml:space="preserve">cases should not be </w:t>
      </w:r>
      <w:r w:rsidR="000645CA">
        <w:t>‘</w:t>
      </w:r>
      <w:r w:rsidRPr="00932BAF">
        <w:t>closed</w:t>
      </w:r>
      <w:r w:rsidR="000645CA">
        <w:t>’</w:t>
      </w:r>
      <w:r w:rsidRPr="00CF5501">
        <w:t xml:space="preserve"> where identified risks cannot be mitigated</w:t>
      </w:r>
      <w:r>
        <w:t>. A fit</w:t>
      </w:r>
      <w:r w:rsidR="008765EC">
        <w:t>-</w:t>
      </w:r>
      <w:r>
        <w:t>for</w:t>
      </w:r>
      <w:r w:rsidR="008765EC">
        <w:t>-</w:t>
      </w:r>
      <w:r>
        <w:t>purpose system needs to be in place to monitor such cases when the key worker is absent for an extended period or leaves without identified replacement</w:t>
      </w:r>
    </w:p>
    <w:p w:rsidR="00446A42" w:rsidRDefault="00446A42" w:rsidP="006A3DE1">
      <w:pPr>
        <w:pStyle w:val="ListParagraph"/>
        <w:numPr>
          <w:ilvl w:val="0"/>
          <w:numId w:val="27"/>
        </w:numPr>
      </w:pPr>
      <w:r>
        <w:t>When the need for safeguarding enquiries are indicated, LCC should consider investigations being carried out by a different worker to the care management social worker</w:t>
      </w:r>
    </w:p>
    <w:p w:rsidR="00446A42" w:rsidRDefault="00446A42" w:rsidP="006A3DE1">
      <w:pPr>
        <w:pStyle w:val="ListParagraph"/>
        <w:numPr>
          <w:ilvl w:val="0"/>
          <w:numId w:val="27"/>
        </w:numPr>
      </w:pPr>
      <w:r>
        <w:t xml:space="preserve">All workers should focus on the individual </w:t>
      </w:r>
      <w:r w:rsidR="008765EC">
        <w:t>“</w:t>
      </w:r>
      <w:r>
        <w:t>at risk</w:t>
      </w:r>
      <w:r w:rsidR="008765EC">
        <w:t>”</w:t>
      </w:r>
      <w:r>
        <w:t xml:space="preserve"> and at agreed intervals ensure they are seen and spoken to on their own, or with support from a advocate using communication support aids/assistance as necessary, </w:t>
      </w:r>
    </w:p>
    <w:p w:rsidR="00446A42" w:rsidRDefault="00446A42" w:rsidP="006A3DE1">
      <w:pPr>
        <w:pStyle w:val="ListParagraph"/>
        <w:numPr>
          <w:ilvl w:val="0"/>
          <w:numId w:val="27"/>
        </w:numPr>
      </w:pPr>
      <w:r>
        <w:t xml:space="preserve">Workers should </w:t>
      </w:r>
      <w:r w:rsidRPr="00A95987">
        <w:t xml:space="preserve">focus on the Human Rights of the </w:t>
      </w:r>
      <w:r w:rsidR="000645CA">
        <w:t xml:space="preserve">adult </w:t>
      </w:r>
      <w:r>
        <w:t>a</w:t>
      </w:r>
      <w:r w:rsidRPr="00A95987">
        <w:t xml:space="preserve">nd </w:t>
      </w:r>
      <w:r>
        <w:t xml:space="preserve">sensitively </w:t>
      </w:r>
      <w:r w:rsidRPr="00A95987">
        <w:t>challenge the assumption that the parent</w:t>
      </w:r>
      <w:r>
        <w:t>/carer</w:t>
      </w:r>
      <w:r w:rsidRPr="00A95987">
        <w:t xml:space="preserve"> has the right to make decisions for </w:t>
      </w:r>
      <w:r>
        <w:t xml:space="preserve">the identified vulnerable </w:t>
      </w:r>
      <w:r w:rsidRPr="00A95987">
        <w:t xml:space="preserve"> </w:t>
      </w:r>
      <w:r>
        <w:t xml:space="preserve">adult </w:t>
      </w:r>
    </w:p>
    <w:p w:rsidR="00DE3739" w:rsidRDefault="00DE3739" w:rsidP="006A3DE1">
      <w:pPr>
        <w:pStyle w:val="ListParagraph"/>
        <w:numPr>
          <w:ilvl w:val="0"/>
          <w:numId w:val="27"/>
        </w:numPr>
      </w:pPr>
      <w:r>
        <w:t xml:space="preserve">If access is denied to the </w:t>
      </w:r>
      <w:r w:rsidR="008765EC">
        <w:t>“</w:t>
      </w:r>
      <w:r>
        <w:t>at risk</w:t>
      </w:r>
      <w:r w:rsidR="008765EC">
        <w:t>”</w:t>
      </w:r>
      <w:r>
        <w:t xml:space="preserve"> adult the case should be referred to the organisation’s legal service for advice and regular monitoring of the timely efficacy of risk reduction actions</w:t>
      </w:r>
    </w:p>
    <w:p w:rsidR="00DE3739" w:rsidRDefault="00DE3739" w:rsidP="006A3DE1">
      <w:pPr>
        <w:pStyle w:val="ListParagraph"/>
        <w:numPr>
          <w:ilvl w:val="0"/>
          <w:numId w:val="27"/>
        </w:numPr>
      </w:pPr>
      <w:r>
        <w:t>The LCC legal panel procedure should be reviewed in the light of findings from this SAR, including when legal advice is being sort/action contemplated</w:t>
      </w:r>
      <w:r w:rsidR="008765EC">
        <w:t>,</w:t>
      </w:r>
      <w:r>
        <w:t xml:space="preserve"> that there should be sharing across health and social involved agencies</w:t>
      </w:r>
    </w:p>
    <w:p w:rsidR="00446A42" w:rsidRDefault="00446A42" w:rsidP="006A3DE1">
      <w:pPr>
        <w:pStyle w:val="ListParagraph"/>
        <w:numPr>
          <w:ilvl w:val="0"/>
          <w:numId w:val="27"/>
        </w:numPr>
      </w:pPr>
      <w:r>
        <w:t>Family/carers should have their own needs identified and wishes taken into consideration. They should be offered advocacy support and other third sector carer support</w:t>
      </w:r>
    </w:p>
    <w:p w:rsidR="00446A42" w:rsidRDefault="00446A42" w:rsidP="006A3DE1">
      <w:pPr>
        <w:pStyle w:val="ListParagraph"/>
        <w:numPr>
          <w:ilvl w:val="0"/>
          <w:numId w:val="27"/>
        </w:numPr>
      </w:pPr>
      <w:r>
        <w:t xml:space="preserve">The potential vulnerability of staff working with hard to engage families should be recognised by supervisors and supervision should be supportive and focused on testing resilience and monitoring the feelings of hopelessness that workers can experience when working with hard to </w:t>
      </w:r>
      <w:r w:rsidR="006F1293">
        <w:t>engage individuals</w:t>
      </w:r>
      <w:r>
        <w:t>/families.</w:t>
      </w:r>
    </w:p>
    <w:p w:rsidR="00446A42" w:rsidRDefault="00DE3739" w:rsidP="006A3DE1">
      <w:pPr>
        <w:pStyle w:val="ListParagraph"/>
        <w:numPr>
          <w:ilvl w:val="0"/>
          <w:numId w:val="27"/>
        </w:numPr>
      </w:pPr>
      <w:r>
        <w:t>Staff should have access to regular training around engagement with resistant/avoidan</w:t>
      </w:r>
      <w:r w:rsidR="0054071D">
        <w:t>t</w:t>
      </w:r>
      <w:r>
        <w:t xml:space="preserve"> service users and carers </w:t>
      </w:r>
      <w:r w:rsidR="00446A42">
        <w:t xml:space="preserve"> </w:t>
      </w:r>
    </w:p>
    <w:p w:rsidR="00446A42" w:rsidRPr="00C61F0B" w:rsidRDefault="00446A42" w:rsidP="006A3DE1">
      <w:pPr>
        <w:pStyle w:val="ListParagraph"/>
        <w:numPr>
          <w:ilvl w:val="0"/>
          <w:numId w:val="27"/>
        </w:numPr>
      </w:pPr>
      <w:r w:rsidRPr="00A84CE2">
        <w:t>Staff should make themselves aware of the spiritual and cultural beliefs of people and consider how these might impact</w:t>
      </w:r>
      <w:r>
        <w:t xml:space="preserve"> on their attitudes and behaviours towards vulnerable family members and interventions by health and social care agencies</w:t>
      </w:r>
    </w:p>
    <w:p w:rsidR="00446A42" w:rsidRDefault="00446A42" w:rsidP="006A3DE1">
      <w:pPr>
        <w:pStyle w:val="ListParagraph"/>
        <w:numPr>
          <w:ilvl w:val="0"/>
          <w:numId w:val="27"/>
        </w:numPr>
      </w:pPr>
      <w:r>
        <w:t>Staff should have access to training about  epilepsy and the potential fatal consequence of seizures</w:t>
      </w:r>
    </w:p>
    <w:p w:rsidR="00446A42" w:rsidRDefault="00446A42" w:rsidP="00446A42">
      <w:pPr>
        <w:pStyle w:val="ListParagraph"/>
      </w:pPr>
    </w:p>
    <w:p w:rsidR="00446A42" w:rsidRPr="0083723B" w:rsidRDefault="00446A42" w:rsidP="00446A42">
      <w:pPr>
        <w:rPr>
          <w:rFonts w:ascii="Arial" w:hAnsi="Arial" w:cs="Arial"/>
          <w:b/>
          <w:sz w:val="24"/>
          <w:szCs w:val="24"/>
        </w:rPr>
      </w:pPr>
      <w:r w:rsidRPr="0083723B">
        <w:rPr>
          <w:rFonts w:ascii="Arial" w:hAnsi="Arial" w:cs="Arial"/>
          <w:b/>
          <w:sz w:val="24"/>
          <w:szCs w:val="24"/>
        </w:rPr>
        <w:t>Recommendations for Aintree Hospital NHS Foundation Trust</w:t>
      </w:r>
    </w:p>
    <w:p w:rsidR="00446A42" w:rsidRPr="00544C08" w:rsidRDefault="00446A42" w:rsidP="00446A42">
      <w:pPr>
        <w:pStyle w:val="ListParagraph"/>
        <w:numPr>
          <w:ilvl w:val="0"/>
          <w:numId w:val="23"/>
        </w:numPr>
        <w:spacing w:after="200" w:line="276" w:lineRule="auto"/>
        <w:contextualSpacing/>
      </w:pPr>
      <w:r w:rsidRPr="00544C08">
        <w:lastRenderedPageBreak/>
        <w:t xml:space="preserve">The use of common language used by other agencies in relation to safeguarding </w:t>
      </w:r>
      <w:r>
        <w:t>should</w:t>
      </w:r>
      <w:r w:rsidRPr="00544C08">
        <w:t xml:space="preserve"> be adopted by Aintree University Hospital</w:t>
      </w:r>
    </w:p>
    <w:p w:rsidR="00B10F57" w:rsidRDefault="00446A42" w:rsidP="00446A42">
      <w:pPr>
        <w:pStyle w:val="ListParagraph"/>
        <w:numPr>
          <w:ilvl w:val="0"/>
          <w:numId w:val="23"/>
        </w:numPr>
        <w:spacing w:after="200" w:line="276" w:lineRule="auto"/>
        <w:contextualSpacing/>
      </w:pPr>
      <w:r w:rsidRPr="00544C08">
        <w:t xml:space="preserve">Forms used </w:t>
      </w:r>
      <w:r>
        <w:t>should be</w:t>
      </w:r>
      <w:r w:rsidRPr="00544C08">
        <w:t xml:space="preserve"> compliant with Social Care requirements fo</w:t>
      </w:r>
      <w:r>
        <w:t>r all Local Authority referrals</w:t>
      </w:r>
    </w:p>
    <w:p w:rsidR="00446A42" w:rsidRDefault="00446A42" w:rsidP="00446A42">
      <w:pPr>
        <w:pStyle w:val="ListParagraph"/>
        <w:numPr>
          <w:ilvl w:val="0"/>
          <w:numId w:val="23"/>
        </w:numPr>
        <w:spacing w:after="200" w:line="276" w:lineRule="auto"/>
        <w:contextualSpacing/>
      </w:pPr>
      <w:r>
        <w:t xml:space="preserve">The </w:t>
      </w:r>
      <w:r w:rsidR="00F5468F">
        <w:t>“</w:t>
      </w:r>
      <w:r w:rsidRPr="00544C08">
        <w:t>Section 2</w:t>
      </w:r>
      <w:r w:rsidR="00F5468F">
        <w:t>”</w:t>
      </w:r>
      <w:r>
        <w:t xml:space="preserve"> system currently being used in Aintree should be</w:t>
      </w:r>
      <w:r w:rsidRPr="00544C08">
        <w:t xml:space="preserve"> reviewed with a view to moving to the use of separate forms for requests for Safeguarding and Assessment for a Package of Care.</w:t>
      </w:r>
    </w:p>
    <w:p w:rsidR="00446A42" w:rsidRPr="00544C08" w:rsidRDefault="00446A42" w:rsidP="00446A42">
      <w:pPr>
        <w:pStyle w:val="ListParagraph"/>
        <w:numPr>
          <w:ilvl w:val="0"/>
          <w:numId w:val="23"/>
        </w:numPr>
        <w:spacing w:after="200" w:line="276" w:lineRule="auto"/>
        <w:contextualSpacing/>
      </w:pPr>
      <w:r w:rsidRPr="00544C08">
        <w:t xml:space="preserve">A system of quality assurance of referrals </w:t>
      </w:r>
      <w:r>
        <w:t>should</w:t>
      </w:r>
      <w:r w:rsidRPr="00544C08">
        <w:t xml:space="preserve"> be put in place to reflect the children’s referral process.</w:t>
      </w:r>
    </w:p>
    <w:p w:rsidR="00446A42" w:rsidRDefault="00446A42" w:rsidP="00446A42">
      <w:pPr>
        <w:pStyle w:val="ListParagraph"/>
        <w:numPr>
          <w:ilvl w:val="0"/>
          <w:numId w:val="23"/>
        </w:numPr>
        <w:spacing w:after="200" w:line="276" w:lineRule="auto"/>
        <w:contextualSpacing/>
      </w:pPr>
      <w:r w:rsidRPr="00544C08">
        <w:t xml:space="preserve">Staff safeguarding training </w:t>
      </w:r>
      <w:r>
        <w:t>should</w:t>
      </w:r>
      <w:r w:rsidRPr="00544C08">
        <w:t xml:space="preserve"> place greater emphasis on referrals and the requirement to provide clarity re</w:t>
      </w:r>
      <w:r>
        <w:t>garding</w:t>
      </w:r>
      <w:r w:rsidRPr="00544C08">
        <w:t xml:space="preserve"> concerns. </w:t>
      </w:r>
    </w:p>
    <w:p w:rsidR="00446A42" w:rsidRDefault="00446A42" w:rsidP="00446A42">
      <w:pPr>
        <w:pStyle w:val="ListParagraph"/>
        <w:numPr>
          <w:ilvl w:val="0"/>
          <w:numId w:val="23"/>
        </w:numPr>
        <w:spacing w:after="200" w:line="276" w:lineRule="auto"/>
        <w:contextualSpacing/>
      </w:pPr>
      <w:r w:rsidRPr="00544C08">
        <w:t xml:space="preserve">Staff </w:t>
      </w:r>
      <w:r>
        <w:t>should</w:t>
      </w:r>
      <w:r w:rsidRPr="00544C08">
        <w:t xml:space="preserve"> be fully informed </w:t>
      </w:r>
      <w:r>
        <w:t>of</w:t>
      </w:r>
      <w:r w:rsidRPr="00544C08">
        <w:t xml:space="preserve"> the requirement for </w:t>
      </w:r>
      <w:r>
        <w:t>learning disabled</w:t>
      </w:r>
      <w:r w:rsidRPr="00544C08">
        <w:t xml:space="preserve"> patients to have a completed</w:t>
      </w:r>
      <w:r>
        <w:t xml:space="preserve"> and updated passport in place.</w:t>
      </w:r>
    </w:p>
    <w:p w:rsidR="00446A42" w:rsidRPr="0083723B" w:rsidRDefault="00446A42" w:rsidP="00446A42">
      <w:pPr>
        <w:rPr>
          <w:rFonts w:ascii="Arial" w:hAnsi="Arial" w:cs="Arial"/>
          <w:b/>
          <w:sz w:val="24"/>
          <w:szCs w:val="24"/>
        </w:rPr>
      </w:pPr>
      <w:r>
        <w:t xml:space="preserve"> </w:t>
      </w:r>
      <w:r w:rsidRPr="0083723B">
        <w:rPr>
          <w:rFonts w:ascii="Arial" w:hAnsi="Arial" w:cs="Arial"/>
          <w:b/>
          <w:sz w:val="24"/>
          <w:szCs w:val="24"/>
        </w:rPr>
        <w:t>Recommendations for General Practice.</w:t>
      </w:r>
    </w:p>
    <w:p w:rsidR="00446A42" w:rsidRDefault="00446A42" w:rsidP="00446A42">
      <w:pPr>
        <w:pStyle w:val="ListParagraph"/>
        <w:numPr>
          <w:ilvl w:val="0"/>
          <w:numId w:val="26"/>
        </w:numPr>
      </w:pPr>
      <w:r w:rsidRPr="0083723B">
        <w:t>All workers should focus on the individual at risk and ensure they respond in their best interests</w:t>
      </w:r>
    </w:p>
    <w:p w:rsidR="00446A42" w:rsidRDefault="00446A42" w:rsidP="00446A42">
      <w:pPr>
        <w:pStyle w:val="ListParagraph"/>
        <w:numPr>
          <w:ilvl w:val="0"/>
          <w:numId w:val="26"/>
        </w:numPr>
      </w:pPr>
      <w:r>
        <w:t xml:space="preserve"> The Annual Health Check for those on the Learning Difficulties Register, held at the practice, to deliver an enhanced, more holistic assessment of need should be refocused to include:</w:t>
      </w:r>
    </w:p>
    <w:p w:rsidR="00446A42" w:rsidRDefault="00446A42" w:rsidP="00446A42">
      <w:pPr>
        <w:pStyle w:val="ListParagraph"/>
        <w:numPr>
          <w:ilvl w:val="0"/>
          <w:numId w:val="24"/>
        </w:numPr>
        <w:spacing w:after="200" w:line="276" w:lineRule="auto"/>
        <w:contextualSpacing/>
      </w:pPr>
      <w:r>
        <w:t xml:space="preserve">Assessment of capacity </w:t>
      </w:r>
    </w:p>
    <w:p w:rsidR="00446A42" w:rsidRDefault="00446A42" w:rsidP="00446A42">
      <w:pPr>
        <w:pStyle w:val="ListParagraph"/>
        <w:numPr>
          <w:ilvl w:val="0"/>
          <w:numId w:val="24"/>
        </w:numPr>
        <w:spacing w:after="200" w:line="276" w:lineRule="auto"/>
        <w:contextualSpacing/>
      </w:pPr>
      <w:r>
        <w:t>Identifying and noting key agencies involved with the individual</w:t>
      </w:r>
    </w:p>
    <w:p w:rsidR="00446A42" w:rsidRDefault="00446A42" w:rsidP="00446A42">
      <w:pPr>
        <w:pStyle w:val="ListParagraph"/>
        <w:numPr>
          <w:ilvl w:val="0"/>
          <w:numId w:val="24"/>
        </w:numPr>
        <w:spacing w:after="200" w:line="276" w:lineRule="auto"/>
        <w:contextualSpacing/>
      </w:pPr>
      <w:r>
        <w:t>Use of independent advocates</w:t>
      </w:r>
    </w:p>
    <w:p w:rsidR="00446A42" w:rsidRDefault="00446A42" w:rsidP="00446A42">
      <w:pPr>
        <w:pStyle w:val="ListParagraph"/>
        <w:numPr>
          <w:ilvl w:val="0"/>
          <w:numId w:val="24"/>
        </w:numPr>
        <w:spacing w:after="200" w:line="276" w:lineRule="auto"/>
        <w:contextualSpacing/>
      </w:pPr>
      <w:r>
        <w:t>Carer issues, particularly if there is reluctance to engage/obstructive to those offering help and support]</w:t>
      </w:r>
    </w:p>
    <w:p w:rsidR="00446A42" w:rsidRDefault="00446A42" w:rsidP="00446A42">
      <w:pPr>
        <w:pStyle w:val="ListParagraph"/>
        <w:numPr>
          <w:ilvl w:val="0"/>
          <w:numId w:val="26"/>
        </w:numPr>
        <w:contextualSpacing/>
      </w:pPr>
      <w:r>
        <w:t xml:space="preserve"> Revise the LD template to incorporate these issues with the use of appropriate READ coding for audit purposes</w:t>
      </w:r>
    </w:p>
    <w:p w:rsidR="00446A42" w:rsidRDefault="00446A42" w:rsidP="00446A42">
      <w:pPr>
        <w:pStyle w:val="ListParagraph"/>
        <w:numPr>
          <w:ilvl w:val="0"/>
          <w:numId w:val="26"/>
        </w:numPr>
        <w:spacing w:after="200" w:line="276" w:lineRule="auto"/>
        <w:contextualSpacing/>
      </w:pPr>
      <w:r>
        <w:t>Encourage practice Multi-disciplinary / agency meetings to facilitate a pro-active approach to care delivery for individuals with learning difficulties</w:t>
      </w:r>
    </w:p>
    <w:p w:rsidR="00446A42" w:rsidRDefault="00446A42" w:rsidP="00446A42">
      <w:pPr>
        <w:pStyle w:val="ListParagraph"/>
        <w:numPr>
          <w:ilvl w:val="0"/>
          <w:numId w:val="26"/>
        </w:numPr>
        <w:spacing w:after="200" w:line="276" w:lineRule="auto"/>
        <w:contextualSpacing/>
      </w:pPr>
      <w:r>
        <w:t>Review the epilepsy template to highlight and raise awareness of the increased risk of epilepsy and death from epilepsy in those with Learning Difficulties to promote better understanding of need in these individuals</w:t>
      </w:r>
    </w:p>
    <w:p w:rsidR="00446A42" w:rsidRDefault="00446A42" w:rsidP="00446A42">
      <w:pPr>
        <w:pStyle w:val="ListParagraph"/>
        <w:numPr>
          <w:ilvl w:val="0"/>
          <w:numId w:val="26"/>
        </w:numPr>
        <w:spacing w:after="200" w:line="276" w:lineRule="auto"/>
        <w:contextualSpacing/>
      </w:pPr>
      <w:r>
        <w:t xml:space="preserve"> Practices should revise policies and procedures to promote greater scrutiny and follow-up of missed appointments for those individuals with LD. Raise awareness that missed appointments are possibly markers of neglect. Those that rely on parents or carers are the most vulnerable. A more appropriate term would be </w:t>
      </w:r>
      <w:r w:rsidR="00F5468F">
        <w:t>“w</w:t>
      </w:r>
      <w:r>
        <w:t>as not brought</w:t>
      </w:r>
      <w:r w:rsidR="00F5468F">
        <w:t>”</w:t>
      </w:r>
    </w:p>
    <w:p w:rsidR="00446A42" w:rsidRDefault="00446A42" w:rsidP="00446A42">
      <w:pPr>
        <w:pStyle w:val="ListParagraph"/>
        <w:numPr>
          <w:ilvl w:val="0"/>
          <w:numId w:val="26"/>
        </w:numPr>
        <w:spacing w:after="200" w:line="276" w:lineRule="auto"/>
        <w:contextualSpacing/>
      </w:pPr>
      <w:r>
        <w:t>GP practices should have systems in place to monitor the issue and collection of prescriptions from the surgery so that any omissions can be followed up accordingly.</w:t>
      </w:r>
    </w:p>
    <w:p w:rsidR="00AD0744" w:rsidRPr="00181616" w:rsidRDefault="00AD0744" w:rsidP="00A70EEF">
      <w:pPr>
        <w:rPr>
          <w:rFonts w:ascii="Arial" w:hAnsi="Arial" w:cs="Arial"/>
          <w:color w:val="FF0000"/>
          <w:sz w:val="24"/>
          <w:szCs w:val="24"/>
        </w:rPr>
      </w:pPr>
    </w:p>
    <w:sectPr w:rsidR="00AD0744" w:rsidRPr="00181616" w:rsidSect="009621E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E00" w:rsidRDefault="007C0E00" w:rsidP="009F0B78">
      <w:pPr>
        <w:spacing w:after="0" w:line="240" w:lineRule="auto"/>
      </w:pPr>
      <w:r>
        <w:separator/>
      </w:r>
    </w:p>
  </w:endnote>
  <w:endnote w:type="continuationSeparator" w:id="0">
    <w:p w:rsidR="007C0E00" w:rsidRDefault="007C0E00" w:rsidP="009F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rsidP="00F67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57DB" w:rsidRDefault="00A057DB" w:rsidP="003630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1411605" cy="1330960"/>
              <wp:effectExtent l="5080" t="5080" r="2540" b="6985"/>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1330960"/>
                      </a:xfrm>
                      <a:prstGeom prst="triangle">
                        <a:avLst>
                          <a:gd name="adj" fmla="val 100000"/>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7DB" w:rsidRPr="00B25A8E" w:rsidRDefault="00A057DB">
                          <w:pPr>
                            <w:jc w:val="center"/>
                            <w:rPr>
                              <w:sz w:val="20"/>
                              <w:szCs w:val="72"/>
                            </w:rPr>
                          </w:pPr>
                          <w:r w:rsidRPr="00B25A8E">
                            <w:rPr>
                              <w:sz w:val="20"/>
                            </w:rPr>
                            <w:fldChar w:fldCharType="begin"/>
                          </w:r>
                          <w:r w:rsidRPr="00B25A8E">
                            <w:rPr>
                              <w:sz w:val="20"/>
                            </w:rPr>
                            <w:instrText xml:space="preserve"> PAGE    \* MERGEFORMAT </w:instrText>
                          </w:r>
                          <w:r w:rsidRPr="00B25A8E">
                            <w:rPr>
                              <w:sz w:val="20"/>
                            </w:rPr>
                            <w:fldChar w:fldCharType="separate"/>
                          </w:r>
                          <w:r w:rsidR="0064004B" w:rsidRPr="0064004B">
                            <w:rPr>
                              <w:rFonts w:ascii="Calibri Light" w:hAnsi="Calibri Light"/>
                              <w:noProof/>
                              <w:color w:val="FFFFFF"/>
                              <w:sz w:val="56"/>
                              <w:szCs w:val="72"/>
                            </w:rPr>
                            <w:t>2</w:t>
                          </w:r>
                          <w:r w:rsidRPr="00B25A8E">
                            <w:rPr>
                              <w:rFonts w:ascii="Calibri Light" w:hAnsi="Calibri Light"/>
                              <w:noProof/>
                              <w:color w:val="FFFFFF"/>
                              <w:sz w:val="56"/>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59.95pt;margin-top:0;width:111.15pt;height:104.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" adj="21600" fillcolor="#7030a0" stroked="f">
              <v:textbox>
                <w:txbxContent>
                  <w:p w:rsidR="00A057DB" w:rsidRPr="00B25A8E" w:rsidRDefault="00A057DB">
                    <w:pPr>
                      <w:jc w:val="center"/>
                      <w:rPr>
                        <w:sz w:val="20"/>
                        <w:szCs w:val="72"/>
                      </w:rPr>
                    </w:pPr>
                    <w:r w:rsidRPr="00B25A8E">
                      <w:rPr>
                        <w:sz w:val="20"/>
                      </w:rPr>
                      <w:fldChar w:fldCharType="begin"/>
                    </w:r>
                    <w:r w:rsidRPr="00B25A8E">
                      <w:rPr>
                        <w:sz w:val="20"/>
                      </w:rPr>
                      <w:instrText xml:space="preserve"> PAGE    \* MERGEFORMAT </w:instrText>
                    </w:r>
                    <w:r w:rsidRPr="00B25A8E">
                      <w:rPr>
                        <w:sz w:val="20"/>
                      </w:rPr>
                      <w:fldChar w:fldCharType="separate"/>
                    </w:r>
                    <w:r w:rsidR="0064004B" w:rsidRPr="0064004B">
                      <w:rPr>
                        <w:rFonts w:ascii="Calibri Light" w:hAnsi="Calibri Light"/>
                        <w:noProof/>
                        <w:color w:val="FFFFFF"/>
                        <w:sz w:val="56"/>
                        <w:szCs w:val="72"/>
                      </w:rPr>
                      <w:t>2</w:t>
                    </w:r>
                    <w:r w:rsidRPr="00B25A8E">
                      <w:rPr>
                        <w:rFonts w:ascii="Calibri Light" w:hAnsi="Calibri Light"/>
                        <w:noProof/>
                        <w:color w:val="FFFFFF"/>
                        <w:sz w:val="56"/>
                        <w:szCs w:val="7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8473"/>
      <w:docPartObj>
        <w:docPartGallery w:val="Page Numbers (Bottom of Page)"/>
        <w:docPartUnique/>
      </w:docPartObj>
    </w:sdtPr>
    <w:sdtEndPr/>
    <w:sdtContent>
      <w:p w:rsidR="00693295" w:rsidRDefault="000A04EE">
        <w:pPr>
          <w:pStyle w:val="Footer"/>
          <w:jc w:val="right"/>
        </w:pPr>
        <w:r>
          <w:fldChar w:fldCharType="begin"/>
        </w:r>
        <w:r>
          <w:instrText xml:space="preserve"> PAGE   \* MERGEFORMAT </w:instrText>
        </w:r>
        <w:r>
          <w:fldChar w:fldCharType="separate"/>
        </w:r>
        <w:r w:rsidR="00B369EF">
          <w:rPr>
            <w:noProof/>
          </w:rPr>
          <w:t>3</w:t>
        </w:r>
        <w:r>
          <w:rPr>
            <w:noProof/>
          </w:rPr>
          <w:fldChar w:fldCharType="end"/>
        </w:r>
      </w:p>
    </w:sdtContent>
  </w:sdt>
  <w:p w:rsidR="00693295" w:rsidRDefault="0069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E00" w:rsidRDefault="007C0E00" w:rsidP="009F0B78">
      <w:pPr>
        <w:spacing w:after="0" w:line="240" w:lineRule="auto"/>
      </w:pPr>
      <w:r>
        <w:separator/>
      </w:r>
    </w:p>
  </w:footnote>
  <w:footnote w:type="continuationSeparator" w:id="0">
    <w:p w:rsidR="007C0E00" w:rsidRDefault="007C0E00" w:rsidP="009F0B78">
      <w:pPr>
        <w:spacing w:after="0" w:line="240" w:lineRule="auto"/>
      </w:pPr>
      <w:r>
        <w:continuationSeparator/>
      </w:r>
    </w:p>
  </w:footnote>
  <w:footnote w:id="1">
    <w:p w:rsidR="00693295" w:rsidRDefault="00693295">
      <w:pPr>
        <w:pStyle w:val="FootnoteText"/>
      </w:pPr>
      <w:r>
        <w:rPr>
          <w:rStyle w:val="FootnoteReference"/>
        </w:rPr>
        <w:footnoteRef/>
      </w:r>
      <w:r>
        <w:t xml:space="preserve"> This is a pseudonym chosen in discussion with Edward’s mum. </w:t>
      </w:r>
      <w:r w:rsidRPr="001C419A">
        <w:t>She asked that she be referred to in the Report as mum and not mother</w:t>
      </w:r>
    </w:p>
  </w:footnote>
  <w:footnote w:id="2">
    <w:p w:rsidR="00693295" w:rsidRPr="003F5140" w:rsidRDefault="00693295" w:rsidP="00A53AF0">
      <w:pPr>
        <w:pStyle w:val="FootnoteText"/>
        <w:rPr>
          <w:sz w:val="16"/>
          <w:szCs w:val="16"/>
        </w:rPr>
      </w:pPr>
      <w:r w:rsidRPr="003F5140">
        <w:rPr>
          <w:rStyle w:val="FootnoteReference"/>
          <w:sz w:val="16"/>
          <w:szCs w:val="16"/>
        </w:rPr>
        <w:footnoteRef/>
      </w:r>
      <w:r w:rsidRPr="003F5140">
        <w:rPr>
          <w:sz w:val="16"/>
          <w:szCs w:val="16"/>
        </w:rPr>
        <w:t xml:space="preserve"> Care and Support Statutory Guidance to Care Act 2014 published 24</w:t>
      </w:r>
      <w:r w:rsidRPr="003F5140">
        <w:rPr>
          <w:sz w:val="16"/>
          <w:szCs w:val="16"/>
          <w:vertAlign w:val="superscript"/>
        </w:rPr>
        <w:t>th</w:t>
      </w:r>
      <w:r w:rsidRPr="003F5140">
        <w:rPr>
          <w:sz w:val="16"/>
          <w:szCs w:val="16"/>
        </w:rPr>
        <w:t xml:space="preserve"> March 2016</w:t>
      </w:r>
    </w:p>
    <w:p w:rsidR="00693295" w:rsidRPr="003F5140" w:rsidRDefault="007C0E00">
      <w:pPr>
        <w:pStyle w:val="FootnoteText"/>
        <w:rPr>
          <w:sz w:val="16"/>
          <w:szCs w:val="16"/>
        </w:rPr>
      </w:pPr>
      <w:hyperlink r:id="rId1" w:history="1">
        <w:r w:rsidR="00693295" w:rsidRPr="003F5140">
          <w:rPr>
            <w:rStyle w:val="Hyperlink"/>
            <w:sz w:val="16"/>
            <w:szCs w:val="16"/>
          </w:rPr>
          <w:t>https://www.gov.uk/guidance/care-and-support-statutory-guidance/safeguarding</w:t>
        </w:r>
      </w:hyperlink>
    </w:p>
  </w:footnote>
  <w:footnote w:id="3">
    <w:p w:rsidR="00693295" w:rsidRPr="003F5140" w:rsidRDefault="00693295" w:rsidP="00B4341B">
      <w:pPr>
        <w:pStyle w:val="FootnoteText"/>
        <w:rPr>
          <w:sz w:val="16"/>
          <w:szCs w:val="16"/>
        </w:rPr>
      </w:pPr>
      <w:r w:rsidRPr="003F5140">
        <w:rPr>
          <w:rStyle w:val="FootnoteReference"/>
          <w:sz w:val="16"/>
          <w:szCs w:val="16"/>
        </w:rPr>
        <w:footnoteRef/>
      </w:r>
      <w:r w:rsidRPr="003F5140">
        <w:rPr>
          <w:sz w:val="16"/>
          <w:szCs w:val="16"/>
        </w:rPr>
        <w:t xml:space="preserve"> Neglect does not need to be intentional  to considered for a SAR</w:t>
      </w:r>
    </w:p>
  </w:footnote>
  <w:footnote w:id="4">
    <w:p w:rsidR="00693295" w:rsidRPr="003F5140" w:rsidRDefault="00693295" w:rsidP="00B4341B">
      <w:pPr>
        <w:pStyle w:val="FootnoteText"/>
        <w:rPr>
          <w:sz w:val="16"/>
          <w:szCs w:val="16"/>
        </w:rPr>
      </w:pPr>
      <w:r w:rsidRPr="003F5140">
        <w:rPr>
          <w:rStyle w:val="FootnoteReference"/>
          <w:sz w:val="16"/>
          <w:szCs w:val="16"/>
        </w:rPr>
        <w:footnoteRef/>
      </w:r>
      <w:r w:rsidRPr="003F5140">
        <w:rPr>
          <w:sz w:val="16"/>
          <w:szCs w:val="16"/>
        </w:rPr>
        <w:t xml:space="preserve"> </w:t>
      </w:r>
      <w:hyperlink r:id="rId2" w:history="1">
        <w:r w:rsidRPr="003F5140">
          <w:rPr>
            <w:rStyle w:val="Hyperlink"/>
            <w:sz w:val="16"/>
            <w:szCs w:val="16"/>
          </w:rPr>
          <w:t>http://www.scie.org.uk/</w:t>
        </w:r>
      </w:hyperlink>
    </w:p>
    <w:p w:rsidR="00693295" w:rsidRPr="003F5140" w:rsidRDefault="00693295" w:rsidP="00B4341B">
      <w:pPr>
        <w:pStyle w:val="FootnoteText"/>
        <w:rPr>
          <w:sz w:val="16"/>
          <w:szCs w:val="16"/>
        </w:rPr>
      </w:pPr>
    </w:p>
  </w:footnote>
  <w:footnote w:id="5">
    <w:p w:rsidR="00693295" w:rsidRDefault="00693295">
      <w:pPr>
        <w:pStyle w:val="FootnoteText"/>
      </w:pPr>
      <w:r>
        <w:rPr>
          <w:rStyle w:val="FootnoteReference"/>
        </w:rPr>
        <w:footnoteRef/>
      </w:r>
      <w:r>
        <w:t xml:space="preserve"> The independent person has never worked for any agency in Liverpool involved in the care/support of Edward.</w:t>
      </w:r>
    </w:p>
  </w:footnote>
  <w:footnote w:id="6">
    <w:p w:rsidR="00693295" w:rsidRDefault="00693295">
      <w:pPr>
        <w:pStyle w:val="FootnoteText"/>
      </w:pPr>
      <w:r>
        <w:rPr>
          <w:rStyle w:val="FootnoteReference"/>
        </w:rPr>
        <w:footnoteRef/>
      </w:r>
      <w:r>
        <w:t xml:space="preserve"> See paragraph 4.24</w:t>
      </w:r>
    </w:p>
  </w:footnote>
  <w:footnote w:id="7">
    <w:p w:rsidR="00693295" w:rsidRDefault="00693295" w:rsidP="00E7244B">
      <w:pPr>
        <w:pStyle w:val="FootnoteText"/>
      </w:pPr>
      <w:r>
        <w:rPr>
          <w:rStyle w:val="FootnoteReference"/>
        </w:rPr>
        <w:footnoteRef/>
      </w:r>
      <w:r>
        <w:t xml:space="preserve"> </w:t>
      </w:r>
      <w:hyperlink r:id="rId3" w:history="1">
        <w:r w:rsidRPr="00697E14">
          <w:rPr>
            <w:rStyle w:val="Hyperlink"/>
          </w:rPr>
          <w:t>http://www.legislation.gov.uk/uksi/2014/2823/pdfs/uksi_20142823_en.pdf</w:t>
        </w:r>
      </w:hyperlink>
    </w:p>
    <w:p w:rsidR="00693295" w:rsidRDefault="00693295">
      <w:pPr>
        <w:pStyle w:val="FootnoteText"/>
      </w:pPr>
    </w:p>
  </w:footnote>
  <w:footnote w:id="8">
    <w:p w:rsidR="00693295" w:rsidRDefault="00693295" w:rsidP="00C8642D">
      <w:pPr>
        <w:pStyle w:val="FootnoteText"/>
      </w:pPr>
      <w:r>
        <w:rPr>
          <w:rStyle w:val="FootnoteReference"/>
        </w:rPr>
        <w:footnoteRef/>
      </w:r>
      <w:r>
        <w:t xml:space="preserve"> </w:t>
      </w:r>
      <w:hyperlink r:id="rId4" w:history="1">
        <w:r w:rsidRPr="001C1666">
          <w:rPr>
            <w:rStyle w:val="Hyperlink"/>
          </w:rPr>
          <w:t>http://www.bristol.ac.uk/media-library/sites/cipold/migrated/documents/fullfinalreport.pdf</w:t>
        </w:r>
      </w:hyperlink>
    </w:p>
    <w:p w:rsidR="00693295" w:rsidRDefault="00693295" w:rsidP="00C86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pPr>
      <w:pStyle w:val="Header"/>
    </w:pPr>
  </w:p>
  <w:p w:rsidR="00A057DB" w:rsidRDefault="00A05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7DB" w:rsidRDefault="00A057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295" w:rsidRDefault="00693295">
    <w:pPr>
      <w:pStyle w:val="Header"/>
    </w:pPr>
    <w:r>
      <w:t>FINAL APRIL 2017 EN</w:t>
    </w:r>
  </w:p>
  <w:p w:rsidR="00693295" w:rsidRDefault="0069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F2F"/>
    <w:multiLevelType w:val="hybridMultilevel"/>
    <w:tmpl w:val="69F4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A64BF"/>
    <w:multiLevelType w:val="hybridMultilevel"/>
    <w:tmpl w:val="DFEAC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B73066"/>
    <w:multiLevelType w:val="hybridMultilevel"/>
    <w:tmpl w:val="C106B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932A9"/>
    <w:multiLevelType w:val="hybridMultilevel"/>
    <w:tmpl w:val="E4DA0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15D7B"/>
    <w:multiLevelType w:val="hybridMultilevel"/>
    <w:tmpl w:val="F270639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27FD5171"/>
    <w:multiLevelType w:val="multilevel"/>
    <w:tmpl w:val="5F4A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B7FC8"/>
    <w:multiLevelType w:val="multilevel"/>
    <w:tmpl w:val="E1BC70E4"/>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36157150"/>
    <w:multiLevelType w:val="hybridMultilevel"/>
    <w:tmpl w:val="BAAE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264E7"/>
    <w:multiLevelType w:val="multilevel"/>
    <w:tmpl w:val="6CAC6500"/>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607E11"/>
    <w:multiLevelType w:val="hybridMultilevel"/>
    <w:tmpl w:val="5BA2DAB4"/>
    <w:lvl w:ilvl="0" w:tplc="8674776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9186D"/>
    <w:multiLevelType w:val="hybridMultilevel"/>
    <w:tmpl w:val="45706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85975"/>
    <w:multiLevelType w:val="hybridMultilevel"/>
    <w:tmpl w:val="01821E6A"/>
    <w:lvl w:ilvl="0" w:tplc="4090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16B93"/>
    <w:multiLevelType w:val="hybridMultilevel"/>
    <w:tmpl w:val="824C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43134"/>
    <w:multiLevelType w:val="hybridMultilevel"/>
    <w:tmpl w:val="CA4C8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47441A"/>
    <w:multiLevelType w:val="hybridMultilevel"/>
    <w:tmpl w:val="3E8020B6"/>
    <w:lvl w:ilvl="0" w:tplc="50C64D18">
      <w:start w:val="1"/>
      <w:numFmt w:val="decimal"/>
      <w:lvlText w:val="%1."/>
      <w:lvlJc w:val="left"/>
      <w:pPr>
        <w:ind w:left="1155" w:hanging="360"/>
      </w:pPr>
      <w:rPr>
        <w:rFonts w:hint="default"/>
        <w:b/>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5" w15:restartNumberingAfterBreak="0">
    <w:nsid w:val="52A67DD6"/>
    <w:multiLevelType w:val="hybridMultilevel"/>
    <w:tmpl w:val="A5FC60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3C4331"/>
    <w:multiLevelType w:val="hybridMultilevel"/>
    <w:tmpl w:val="C64E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07A59"/>
    <w:multiLevelType w:val="hybridMultilevel"/>
    <w:tmpl w:val="EB2CAA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31437C"/>
    <w:multiLevelType w:val="hybridMultilevel"/>
    <w:tmpl w:val="E92E11E2"/>
    <w:lvl w:ilvl="0" w:tplc="B11ADB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37376"/>
    <w:multiLevelType w:val="hybridMultilevel"/>
    <w:tmpl w:val="850ED7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807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224DC"/>
    <w:multiLevelType w:val="hybridMultilevel"/>
    <w:tmpl w:val="49967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27612B"/>
    <w:multiLevelType w:val="hybridMultilevel"/>
    <w:tmpl w:val="86EC96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B405A"/>
    <w:multiLevelType w:val="multilevel"/>
    <w:tmpl w:val="E1BC70E4"/>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7C2020D9"/>
    <w:multiLevelType w:val="hybridMultilevel"/>
    <w:tmpl w:val="B652029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DF16078"/>
    <w:multiLevelType w:val="hybridMultilevel"/>
    <w:tmpl w:val="E7F2D362"/>
    <w:lvl w:ilvl="0" w:tplc="E9B218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00A34"/>
    <w:multiLevelType w:val="hybridMultilevel"/>
    <w:tmpl w:val="D7AA211A"/>
    <w:lvl w:ilvl="0" w:tplc="6B6C6DC8">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
  </w:num>
  <w:num w:numId="3">
    <w:abstractNumId w:val="14"/>
  </w:num>
  <w:num w:numId="4">
    <w:abstractNumId w:val="12"/>
  </w:num>
  <w:num w:numId="5">
    <w:abstractNumId w:val="4"/>
  </w:num>
  <w:num w:numId="6">
    <w:abstractNumId w:val="16"/>
  </w:num>
  <w:num w:numId="7">
    <w:abstractNumId w:val="10"/>
  </w:num>
  <w:num w:numId="8">
    <w:abstractNumId w:val="3"/>
  </w:num>
  <w:num w:numId="9">
    <w:abstractNumId w:val="26"/>
  </w:num>
  <w:num w:numId="10">
    <w:abstractNumId w:val="17"/>
  </w:num>
  <w:num w:numId="11">
    <w:abstractNumId w:val="6"/>
  </w:num>
  <w:num w:numId="12">
    <w:abstractNumId w:val="8"/>
  </w:num>
  <w:num w:numId="13">
    <w:abstractNumId w:val="7"/>
  </w:num>
  <w:num w:numId="14">
    <w:abstractNumId w:val="0"/>
  </w:num>
  <w:num w:numId="15">
    <w:abstractNumId w:val="2"/>
  </w:num>
  <w:num w:numId="16">
    <w:abstractNumId w:val="24"/>
  </w:num>
  <w:num w:numId="17">
    <w:abstractNumId w:val="9"/>
  </w:num>
  <w:num w:numId="18">
    <w:abstractNumId w:val="19"/>
  </w:num>
  <w:num w:numId="19">
    <w:abstractNumId w:val="18"/>
  </w:num>
  <w:num w:numId="20">
    <w:abstractNumId w:val="15"/>
  </w:num>
  <w:num w:numId="21">
    <w:abstractNumId w:val="5"/>
  </w:num>
  <w:num w:numId="22">
    <w:abstractNumId w:val="23"/>
  </w:num>
  <w:num w:numId="23">
    <w:abstractNumId w:val="13"/>
  </w:num>
  <w:num w:numId="24">
    <w:abstractNumId w:val="11"/>
  </w:num>
  <w:num w:numId="25">
    <w:abstractNumId w:val="25"/>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97"/>
    <w:rsid w:val="00003A16"/>
    <w:rsid w:val="00006E24"/>
    <w:rsid w:val="000079FD"/>
    <w:rsid w:val="00011D23"/>
    <w:rsid w:val="00014244"/>
    <w:rsid w:val="000156E5"/>
    <w:rsid w:val="00020F55"/>
    <w:rsid w:val="000239AD"/>
    <w:rsid w:val="00027659"/>
    <w:rsid w:val="00030978"/>
    <w:rsid w:val="000412F5"/>
    <w:rsid w:val="000425D5"/>
    <w:rsid w:val="000432DB"/>
    <w:rsid w:val="00044364"/>
    <w:rsid w:val="00060B13"/>
    <w:rsid w:val="000615DE"/>
    <w:rsid w:val="000645CA"/>
    <w:rsid w:val="00067633"/>
    <w:rsid w:val="00071800"/>
    <w:rsid w:val="0007201D"/>
    <w:rsid w:val="00077E28"/>
    <w:rsid w:val="0008352F"/>
    <w:rsid w:val="00086153"/>
    <w:rsid w:val="000868F0"/>
    <w:rsid w:val="00086F80"/>
    <w:rsid w:val="000871AE"/>
    <w:rsid w:val="0009436B"/>
    <w:rsid w:val="00096C55"/>
    <w:rsid w:val="000A04EE"/>
    <w:rsid w:val="000A0BF8"/>
    <w:rsid w:val="000A3FF4"/>
    <w:rsid w:val="000A6566"/>
    <w:rsid w:val="000A6A90"/>
    <w:rsid w:val="000B1A0C"/>
    <w:rsid w:val="000B2204"/>
    <w:rsid w:val="000B7AD2"/>
    <w:rsid w:val="000C262B"/>
    <w:rsid w:val="000C450E"/>
    <w:rsid w:val="000D3F28"/>
    <w:rsid w:val="000E3DEB"/>
    <w:rsid w:val="000E57C6"/>
    <w:rsid w:val="000E5F4B"/>
    <w:rsid w:val="000E66E1"/>
    <w:rsid w:val="000F0C04"/>
    <w:rsid w:val="000F0C60"/>
    <w:rsid w:val="000F3382"/>
    <w:rsid w:val="000F6644"/>
    <w:rsid w:val="0010106D"/>
    <w:rsid w:val="00102423"/>
    <w:rsid w:val="0010758A"/>
    <w:rsid w:val="0011168A"/>
    <w:rsid w:val="00111AA7"/>
    <w:rsid w:val="00114384"/>
    <w:rsid w:val="001147EA"/>
    <w:rsid w:val="00122E8B"/>
    <w:rsid w:val="001235D0"/>
    <w:rsid w:val="00127D84"/>
    <w:rsid w:val="00157AE9"/>
    <w:rsid w:val="00157F21"/>
    <w:rsid w:val="00160D27"/>
    <w:rsid w:val="0016620A"/>
    <w:rsid w:val="00170841"/>
    <w:rsid w:val="0017205F"/>
    <w:rsid w:val="00175083"/>
    <w:rsid w:val="00181616"/>
    <w:rsid w:val="00182F8D"/>
    <w:rsid w:val="00184514"/>
    <w:rsid w:val="00186194"/>
    <w:rsid w:val="00191482"/>
    <w:rsid w:val="001A1282"/>
    <w:rsid w:val="001A3E5A"/>
    <w:rsid w:val="001B2026"/>
    <w:rsid w:val="001B370C"/>
    <w:rsid w:val="001B4E14"/>
    <w:rsid w:val="001C419A"/>
    <w:rsid w:val="001D73A6"/>
    <w:rsid w:val="00206A6B"/>
    <w:rsid w:val="00214010"/>
    <w:rsid w:val="00216646"/>
    <w:rsid w:val="00220261"/>
    <w:rsid w:val="002226DB"/>
    <w:rsid w:val="002232DA"/>
    <w:rsid w:val="00234FB3"/>
    <w:rsid w:val="00251CB4"/>
    <w:rsid w:val="0025306C"/>
    <w:rsid w:val="002532D9"/>
    <w:rsid w:val="00255CCC"/>
    <w:rsid w:val="00264777"/>
    <w:rsid w:val="002813CA"/>
    <w:rsid w:val="002821B8"/>
    <w:rsid w:val="00284C4A"/>
    <w:rsid w:val="00285846"/>
    <w:rsid w:val="00291B78"/>
    <w:rsid w:val="00296BE9"/>
    <w:rsid w:val="002A1638"/>
    <w:rsid w:val="002A381B"/>
    <w:rsid w:val="002A3E6F"/>
    <w:rsid w:val="002B4706"/>
    <w:rsid w:val="002B4865"/>
    <w:rsid w:val="002B6244"/>
    <w:rsid w:val="002C1656"/>
    <w:rsid w:val="002C42C3"/>
    <w:rsid w:val="002D74F9"/>
    <w:rsid w:val="002D762A"/>
    <w:rsid w:val="002F41DA"/>
    <w:rsid w:val="002F7515"/>
    <w:rsid w:val="002F7B21"/>
    <w:rsid w:val="00300F63"/>
    <w:rsid w:val="00301200"/>
    <w:rsid w:val="00306104"/>
    <w:rsid w:val="003126AE"/>
    <w:rsid w:val="00312711"/>
    <w:rsid w:val="003154AE"/>
    <w:rsid w:val="0031557D"/>
    <w:rsid w:val="003169D4"/>
    <w:rsid w:val="00317BFC"/>
    <w:rsid w:val="00317D59"/>
    <w:rsid w:val="0032599F"/>
    <w:rsid w:val="00332E79"/>
    <w:rsid w:val="00334431"/>
    <w:rsid w:val="0033778E"/>
    <w:rsid w:val="00344AAA"/>
    <w:rsid w:val="0035262C"/>
    <w:rsid w:val="00355C09"/>
    <w:rsid w:val="00363063"/>
    <w:rsid w:val="00366152"/>
    <w:rsid w:val="00367B5E"/>
    <w:rsid w:val="00371B6E"/>
    <w:rsid w:val="003753BD"/>
    <w:rsid w:val="00375C30"/>
    <w:rsid w:val="00382B64"/>
    <w:rsid w:val="003947CA"/>
    <w:rsid w:val="00395949"/>
    <w:rsid w:val="003A143A"/>
    <w:rsid w:val="003A6633"/>
    <w:rsid w:val="003B054D"/>
    <w:rsid w:val="003B50CC"/>
    <w:rsid w:val="003B5BB1"/>
    <w:rsid w:val="003B7CD8"/>
    <w:rsid w:val="003C6E87"/>
    <w:rsid w:val="003C7944"/>
    <w:rsid w:val="003D1AAA"/>
    <w:rsid w:val="003D3267"/>
    <w:rsid w:val="003E09E9"/>
    <w:rsid w:val="003E1B8D"/>
    <w:rsid w:val="003E634D"/>
    <w:rsid w:val="003E7EC4"/>
    <w:rsid w:val="003F2012"/>
    <w:rsid w:val="003F22EE"/>
    <w:rsid w:val="003F2C30"/>
    <w:rsid w:val="003F5140"/>
    <w:rsid w:val="003F5A05"/>
    <w:rsid w:val="004014D3"/>
    <w:rsid w:val="00413911"/>
    <w:rsid w:val="00415BE0"/>
    <w:rsid w:val="00430D14"/>
    <w:rsid w:val="00433AE8"/>
    <w:rsid w:val="00436853"/>
    <w:rsid w:val="0044651D"/>
    <w:rsid w:val="00446561"/>
    <w:rsid w:val="004466A5"/>
    <w:rsid w:val="00446A42"/>
    <w:rsid w:val="0045195E"/>
    <w:rsid w:val="004551FE"/>
    <w:rsid w:val="0045630E"/>
    <w:rsid w:val="004563B3"/>
    <w:rsid w:val="004627D9"/>
    <w:rsid w:val="00462BB4"/>
    <w:rsid w:val="00463BCD"/>
    <w:rsid w:val="00467742"/>
    <w:rsid w:val="004749C9"/>
    <w:rsid w:val="00476CD0"/>
    <w:rsid w:val="004814BC"/>
    <w:rsid w:val="004A74FF"/>
    <w:rsid w:val="004B047A"/>
    <w:rsid w:val="004B5142"/>
    <w:rsid w:val="004C0951"/>
    <w:rsid w:val="004C0B37"/>
    <w:rsid w:val="004C16EE"/>
    <w:rsid w:val="004C678C"/>
    <w:rsid w:val="004C6FD2"/>
    <w:rsid w:val="004C7A58"/>
    <w:rsid w:val="004D4FD3"/>
    <w:rsid w:val="004E1B84"/>
    <w:rsid w:val="004F0115"/>
    <w:rsid w:val="004F0E5A"/>
    <w:rsid w:val="004F15F1"/>
    <w:rsid w:val="004F5AF8"/>
    <w:rsid w:val="004F6A4A"/>
    <w:rsid w:val="005037C4"/>
    <w:rsid w:val="0050552B"/>
    <w:rsid w:val="005100EF"/>
    <w:rsid w:val="00513D2C"/>
    <w:rsid w:val="0051667D"/>
    <w:rsid w:val="005166EE"/>
    <w:rsid w:val="00516B6A"/>
    <w:rsid w:val="00517C1B"/>
    <w:rsid w:val="00520954"/>
    <w:rsid w:val="0052503C"/>
    <w:rsid w:val="00540119"/>
    <w:rsid w:val="0054071D"/>
    <w:rsid w:val="00544E33"/>
    <w:rsid w:val="00545426"/>
    <w:rsid w:val="005502F0"/>
    <w:rsid w:val="0055061A"/>
    <w:rsid w:val="005566E1"/>
    <w:rsid w:val="00563D52"/>
    <w:rsid w:val="0056457B"/>
    <w:rsid w:val="005769B5"/>
    <w:rsid w:val="005769BB"/>
    <w:rsid w:val="00576CD9"/>
    <w:rsid w:val="00586D1D"/>
    <w:rsid w:val="00592F15"/>
    <w:rsid w:val="005A1BE2"/>
    <w:rsid w:val="005A3531"/>
    <w:rsid w:val="005A5480"/>
    <w:rsid w:val="005B7146"/>
    <w:rsid w:val="005C4719"/>
    <w:rsid w:val="005D20B6"/>
    <w:rsid w:val="005D3678"/>
    <w:rsid w:val="005D6036"/>
    <w:rsid w:val="005D61B6"/>
    <w:rsid w:val="005E142E"/>
    <w:rsid w:val="005E1F97"/>
    <w:rsid w:val="005E2E4A"/>
    <w:rsid w:val="005E5EB3"/>
    <w:rsid w:val="005E61A5"/>
    <w:rsid w:val="005F1F1B"/>
    <w:rsid w:val="005F4171"/>
    <w:rsid w:val="005F4773"/>
    <w:rsid w:val="005F5450"/>
    <w:rsid w:val="005F5BD3"/>
    <w:rsid w:val="005F65AA"/>
    <w:rsid w:val="005F6601"/>
    <w:rsid w:val="00604E88"/>
    <w:rsid w:val="00612462"/>
    <w:rsid w:val="00613577"/>
    <w:rsid w:val="00627B62"/>
    <w:rsid w:val="00631A62"/>
    <w:rsid w:val="0063226E"/>
    <w:rsid w:val="0064004B"/>
    <w:rsid w:val="00641471"/>
    <w:rsid w:val="006465A3"/>
    <w:rsid w:val="00647568"/>
    <w:rsid w:val="006556FD"/>
    <w:rsid w:val="00660162"/>
    <w:rsid w:val="00660925"/>
    <w:rsid w:val="0067158B"/>
    <w:rsid w:val="00681267"/>
    <w:rsid w:val="00693295"/>
    <w:rsid w:val="006A2261"/>
    <w:rsid w:val="006A3DE1"/>
    <w:rsid w:val="006A4348"/>
    <w:rsid w:val="006A559F"/>
    <w:rsid w:val="006A6506"/>
    <w:rsid w:val="006C2022"/>
    <w:rsid w:val="006C7BC5"/>
    <w:rsid w:val="006D33CC"/>
    <w:rsid w:val="006D7067"/>
    <w:rsid w:val="006D7D94"/>
    <w:rsid w:val="006E054A"/>
    <w:rsid w:val="006F1293"/>
    <w:rsid w:val="006F2529"/>
    <w:rsid w:val="006F2B21"/>
    <w:rsid w:val="006F422B"/>
    <w:rsid w:val="006F5F27"/>
    <w:rsid w:val="006F612D"/>
    <w:rsid w:val="006F7419"/>
    <w:rsid w:val="006F7582"/>
    <w:rsid w:val="00713AE3"/>
    <w:rsid w:val="00714957"/>
    <w:rsid w:val="007160DE"/>
    <w:rsid w:val="00716852"/>
    <w:rsid w:val="00730B18"/>
    <w:rsid w:val="00731BE4"/>
    <w:rsid w:val="00732B08"/>
    <w:rsid w:val="00732FFC"/>
    <w:rsid w:val="007346F9"/>
    <w:rsid w:val="00734A2B"/>
    <w:rsid w:val="00734E9E"/>
    <w:rsid w:val="00742A32"/>
    <w:rsid w:val="0074489B"/>
    <w:rsid w:val="007461C1"/>
    <w:rsid w:val="0075001D"/>
    <w:rsid w:val="00755500"/>
    <w:rsid w:val="00762676"/>
    <w:rsid w:val="007675C4"/>
    <w:rsid w:val="00771E7B"/>
    <w:rsid w:val="00773AF1"/>
    <w:rsid w:val="0077406F"/>
    <w:rsid w:val="00781EBE"/>
    <w:rsid w:val="0079205B"/>
    <w:rsid w:val="007A0CF7"/>
    <w:rsid w:val="007A52AE"/>
    <w:rsid w:val="007A5968"/>
    <w:rsid w:val="007B081D"/>
    <w:rsid w:val="007B0EB7"/>
    <w:rsid w:val="007B12E0"/>
    <w:rsid w:val="007B7C57"/>
    <w:rsid w:val="007C0E00"/>
    <w:rsid w:val="007D1019"/>
    <w:rsid w:val="007D6681"/>
    <w:rsid w:val="007E0EFC"/>
    <w:rsid w:val="007E5045"/>
    <w:rsid w:val="007E7284"/>
    <w:rsid w:val="00800C36"/>
    <w:rsid w:val="00800E49"/>
    <w:rsid w:val="00800F9D"/>
    <w:rsid w:val="00803F59"/>
    <w:rsid w:val="008077E8"/>
    <w:rsid w:val="00810585"/>
    <w:rsid w:val="00814881"/>
    <w:rsid w:val="00820FC4"/>
    <w:rsid w:val="008232BD"/>
    <w:rsid w:val="008258A7"/>
    <w:rsid w:val="0082608A"/>
    <w:rsid w:val="008353E6"/>
    <w:rsid w:val="00844ABF"/>
    <w:rsid w:val="008469F4"/>
    <w:rsid w:val="008500C1"/>
    <w:rsid w:val="00852908"/>
    <w:rsid w:val="00855829"/>
    <w:rsid w:val="008579E3"/>
    <w:rsid w:val="00863114"/>
    <w:rsid w:val="00863506"/>
    <w:rsid w:val="008640A1"/>
    <w:rsid w:val="00870CA7"/>
    <w:rsid w:val="008765EC"/>
    <w:rsid w:val="008778A0"/>
    <w:rsid w:val="00882DE8"/>
    <w:rsid w:val="00882E14"/>
    <w:rsid w:val="008842E8"/>
    <w:rsid w:val="00887395"/>
    <w:rsid w:val="00890F6E"/>
    <w:rsid w:val="00896FE8"/>
    <w:rsid w:val="008A1C48"/>
    <w:rsid w:val="008A2182"/>
    <w:rsid w:val="008A422A"/>
    <w:rsid w:val="008B126A"/>
    <w:rsid w:val="008B4787"/>
    <w:rsid w:val="008C1364"/>
    <w:rsid w:val="008C1AC0"/>
    <w:rsid w:val="008C1DB9"/>
    <w:rsid w:val="008C4389"/>
    <w:rsid w:val="008D2306"/>
    <w:rsid w:val="008D5977"/>
    <w:rsid w:val="008D7BB3"/>
    <w:rsid w:val="008E4F13"/>
    <w:rsid w:val="008E7C61"/>
    <w:rsid w:val="008F4227"/>
    <w:rsid w:val="008F4C85"/>
    <w:rsid w:val="008F5808"/>
    <w:rsid w:val="00900C84"/>
    <w:rsid w:val="009024A8"/>
    <w:rsid w:val="00910746"/>
    <w:rsid w:val="00920C56"/>
    <w:rsid w:val="00920C9A"/>
    <w:rsid w:val="0092152B"/>
    <w:rsid w:val="00923BB0"/>
    <w:rsid w:val="00924765"/>
    <w:rsid w:val="00926D51"/>
    <w:rsid w:val="00926EC7"/>
    <w:rsid w:val="00927C2D"/>
    <w:rsid w:val="00933287"/>
    <w:rsid w:val="00940578"/>
    <w:rsid w:val="00947492"/>
    <w:rsid w:val="009573DB"/>
    <w:rsid w:val="00957ED8"/>
    <w:rsid w:val="009611A1"/>
    <w:rsid w:val="009621EA"/>
    <w:rsid w:val="00967A36"/>
    <w:rsid w:val="00975A1F"/>
    <w:rsid w:val="00981443"/>
    <w:rsid w:val="00981C28"/>
    <w:rsid w:val="009867A9"/>
    <w:rsid w:val="00992F24"/>
    <w:rsid w:val="00993FE4"/>
    <w:rsid w:val="00994269"/>
    <w:rsid w:val="009B3F1C"/>
    <w:rsid w:val="009C2CCE"/>
    <w:rsid w:val="009C333F"/>
    <w:rsid w:val="009C3CE6"/>
    <w:rsid w:val="009C6783"/>
    <w:rsid w:val="009C7876"/>
    <w:rsid w:val="009D29A8"/>
    <w:rsid w:val="009D2DFB"/>
    <w:rsid w:val="009D7AF4"/>
    <w:rsid w:val="009D7B25"/>
    <w:rsid w:val="009E0667"/>
    <w:rsid w:val="009E4AF5"/>
    <w:rsid w:val="009E52C3"/>
    <w:rsid w:val="009F0B78"/>
    <w:rsid w:val="009F5DCC"/>
    <w:rsid w:val="00A057DB"/>
    <w:rsid w:val="00A05D3E"/>
    <w:rsid w:val="00A07D3B"/>
    <w:rsid w:val="00A12D0F"/>
    <w:rsid w:val="00A17E14"/>
    <w:rsid w:val="00A209B8"/>
    <w:rsid w:val="00A20E14"/>
    <w:rsid w:val="00A20FFF"/>
    <w:rsid w:val="00A2111C"/>
    <w:rsid w:val="00A222BF"/>
    <w:rsid w:val="00A22368"/>
    <w:rsid w:val="00A26ABD"/>
    <w:rsid w:val="00A335EC"/>
    <w:rsid w:val="00A36B5F"/>
    <w:rsid w:val="00A41189"/>
    <w:rsid w:val="00A430B3"/>
    <w:rsid w:val="00A4789A"/>
    <w:rsid w:val="00A53AF0"/>
    <w:rsid w:val="00A53FE2"/>
    <w:rsid w:val="00A565B9"/>
    <w:rsid w:val="00A600D5"/>
    <w:rsid w:val="00A6037C"/>
    <w:rsid w:val="00A6561D"/>
    <w:rsid w:val="00A70276"/>
    <w:rsid w:val="00A70DD9"/>
    <w:rsid w:val="00A70EEF"/>
    <w:rsid w:val="00A749AF"/>
    <w:rsid w:val="00A8180C"/>
    <w:rsid w:val="00A84CE2"/>
    <w:rsid w:val="00A9448C"/>
    <w:rsid w:val="00AA3A0E"/>
    <w:rsid w:val="00AA458A"/>
    <w:rsid w:val="00AA7B1B"/>
    <w:rsid w:val="00AB4AF3"/>
    <w:rsid w:val="00AB6118"/>
    <w:rsid w:val="00AC1B97"/>
    <w:rsid w:val="00AC204A"/>
    <w:rsid w:val="00AC32AD"/>
    <w:rsid w:val="00AC51B8"/>
    <w:rsid w:val="00AC51E1"/>
    <w:rsid w:val="00AD0744"/>
    <w:rsid w:val="00AD478E"/>
    <w:rsid w:val="00AD7746"/>
    <w:rsid w:val="00AE64DC"/>
    <w:rsid w:val="00AE6AD3"/>
    <w:rsid w:val="00AF34B6"/>
    <w:rsid w:val="00AF4276"/>
    <w:rsid w:val="00B007CC"/>
    <w:rsid w:val="00B023E1"/>
    <w:rsid w:val="00B073C8"/>
    <w:rsid w:val="00B10F57"/>
    <w:rsid w:val="00B15A08"/>
    <w:rsid w:val="00B15B10"/>
    <w:rsid w:val="00B206CF"/>
    <w:rsid w:val="00B232E2"/>
    <w:rsid w:val="00B237B3"/>
    <w:rsid w:val="00B3062F"/>
    <w:rsid w:val="00B31327"/>
    <w:rsid w:val="00B31997"/>
    <w:rsid w:val="00B33AC0"/>
    <w:rsid w:val="00B34341"/>
    <w:rsid w:val="00B357BD"/>
    <w:rsid w:val="00B36652"/>
    <w:rsid w:val="00B369EF"/>
    <w:rsid w:val="00B36B58"/>
    <w:rsid w:val="00B4341B"/>
    <w:rsid w:val="00B45F5A"/>
    <w:rsid w:val="00B4693B"/>
    <w:rsid w:val="00B56C59"/>
    <w:rsid w:val="00B6088C"/>
    <w:rsid w:val="00B66400"/>
    <w:rsid w:val="00B733A9"/>
    <w:rsid w:val="00B75DCC"/>
    <w:rsid w:val="00B910D9"/>
    <w:rsid w:val="00B93F9A"/>
    <w:rsid w:val="00B955A1"/>
    <w:rsid w:val="00BA46D5"/>
    <w:rsid w:val="00BA7A12"/>
    <w:rsid w:val="00BA7DB3"/>
    <w:rsid w:val="00BA7FA2"/>
    <w:rsid w:val="00BB0FB4"/>
    <w:rsid w:val="00BB205D"/>
    <w:rsid w:val="00BB46D5"/>
    <w:rsid w:val="00BB6B54"/>
    <w:rsid w:val="00BB7E07"/>
    <w:rsid w:val="00BC194F"/>
    <w:rsid w:val="00BC1F66"/>
    <w:rsid w:val="00BC3A2E"/>
    <w:rsid w:val="00BC4FD3"/>
    <w:rsid w:val="00BC5DE1"/>
    <w:rsid w:val="00BD066C"/>
    <w:rsid w:val="00BD3FB9"/>
    <w:rsid w:val="00BD6C4A"/>
    <w:rsid w:val="00BD6D85"/>
    <w:rsid w:val="00BE1F79"/>
    <w:rsid w:val="00BE786A"/>
    <w:rsid w:val="00BF0485"/>
    <w:rsid w:val="00C00649"/>
    <w:rsid w:val="00C0096E"/>
    <w:rsid w:val="00C0466A"/>
    <w:rsid w:val="00C04C3D"/>
    <w:rsid w:val="00C11C37"/>
    <w:rsid w:val="00C16F64"/>
    <w:rsid w:val="00C24F53"/>
    <w:rsid w:val="00C25613"/>
    <w:rsid w:val="00C26A41"/>
    <w:rsid w:val="00C311A1"/>
    <w:rsid w:val="00C427BC"/>
    <w:rsid w:val="00C66495"/>
    <w:rsid w:val="00C721E9"/>
    <w:rsid w:val="00C75AEF"/>
    <w:rsid w:val="00C81E13"/>
    <w:rsid w:val="00C83388"/>
    <w:rsid w:val="00C8642D"/>
    <w:rsid w:val="00C86E7F"/>
    <w:rsid w:val="00C93B30"/>
    <w:rsid w:val="00C97282"/>
    <w:rsid w:val="00CA0279"/>
    <w:rsid w:val="00CA14E1"/>
    <w:rsid w:val="00CA2F13"/>
    <w:rsid w:val="00CB2864"/>
    <w:rsid w:val="00CB6C73"/>
    <w:rsid w:val="00CD0F00"/>
    <w:rsid w:val="00CD6F6E"/>
    <w:rsid w:val="00CE3BEB"/>
    <w:rsid w:val="00CE5166"/>
    <w:rsid w:val="00CE5197"/>
    <w:rsid w:val="00CF1C09"/>
    <w:rsid w:val="00CF1F1D"/>
    <w:rsid w:val="00CF2859"/>
    <w:rsid w:val="00CF3E04"/>
    <w:rsid w:val="00CF4CCB"/>
    <w:rsid w:val="00CF73A2"/>
    <w:rsid w:val="00D12FED"/>
    <w:rsid w:val="00D14DB7"/>
    <w:rsid w:val="00D2105E"/>
    <w:rsid w:val="00D30F1B"/>
    <w:rsid w:val="00D3174E"/>
    <w:rsid w:val="00D31BA1"/>
    <w:rsid w:val="00D4183D"/>
    <w:rsid w:val="00D42A1E"/>
    <w:rsid w:val="00D45446"/>
    <w:rsid w:val="00D479AE"/>
    <w:rsid w:val="00D57D5C"/>
    <w:rsid w:val="00D65F12"/>
    <w:rsid w:val="00D7469C"/>
    <w:rsid w:val="00D87954"/>
    <w:rsid w:val="00D93E25"/>
    <w:rsid w:val="00D94365"/>
    <w:rsid w:val="00D957CD"/>
    <w:rsid w:val="00D9746C"/>
    <w:rsid w:val="00D97984"/>
    <w:rsid w:val="00DA32EE"/>
    <w:rsid w:val="00DC1DD0"/>
    <w:rsid w:val="00DC25DA"/>
    <w:rsid w:val="00DC2E25"/>
    <w:rsid w:val="00DC31DF"/>
    <w:rsid w:val="00DC5C06"/>
    <w:rsid w:val="00DD2375"/>
    <w:rsid w:val="00DD2601"/>
    <w:rsid w:val="00DD4CB6"/>
    <w:rsid w:val="00DD5699"/>
    <w:rsid w:val="00DE3739"/>
    <w:rsid w:val="00DE41CA"/>
    <w:rsid w:val="00DE6326"/>
    <w:rsid w:val="00DF233A"/>
    <w:rsid w:val="00DF2A6B"/>
    <w:rsid w:val="00E0073A"/>
    <w:rsid w:val="00E025A0"/>
    <w:rsid w:val="00E0267F"/>
    <w:rsid w:val="00E027AB"/>
    <w:rsid w:val="00E043AB"/>
    <w:rsid w:val="00E128FA"/>
    <w:rsid w:val="00E14005"/>
    <w:rsid w:val="00E26175"/>
    <w:rsid w:val="00E35F0A"/>
    <w:rsid w:val="00E40BDE"/>
    <w:rsid w:val="00E55D60"/>
    <w:rsid w:val="00E6213D"/>
    <w:rsid w:val="00E62C87"/>
    <w:rsid w:val="00E7244B"/>
    <w:rsid w:val="00E7770B"/>
    <w:rsid w:val="00E849D3"/>
    <w:rsid w:val="00E8604E"/>
    <w:rsid w:val="00E869F6"/>
    <w:rsid w:val="00E8700E"/>
    <w:rsid w:val="00E91B1C"/>
    <w:rsid w:val="00EA11F0"/>
    <w:rsid w:val="00EA4629"/>
    <w:rsid w:val="00EA5699"/>
    <w:rsid w:val="00EC7AA0"/>
    <w:rsid w:val="00EC7D6D"/>
    <w:rsid w:val="00ED15E6"/>
    <w:rsid w:val="00ED3DF5"/>
    <w:rsid w:val="00EE0419"/>
    <w:rsid w:val="00EE2094"/>
    <w:rsid w:val="00EE7E33"/>
    <w:rsid w:val="00EF347C"/>
    <w:rsid w:val="00EF54DC"/>
    <w:rsid w:val="00EF7C33"/>
    <w:rsid w:val="00EF7E1D"/>
    <w:rsid w:val="00F042BD"/>
    <w:rsid w:val="00F11B61"/>
    <w:rsid w:val="00F138CB"/>
    <w:rsid w:val="00F2491F"/>
    <w:rsid w:val="00F27A75"/>
    <w:rsid w:val="00F3098F"/>
    <w:rsid w:val="00F319CD"/>
    <w:rsid w:val="00F3498D"/>
    <w:rsid w:val="00F41FB8"/>
    <w:rsid w:val="00F435C3"/>
    <w:rsid w:val="00F440B8"/>
    <w:rsid w:val="00F52F8E"/>
    <w:rsid w:val="00F53335"/>
    <w:rsid w:val="00F5468F"/>
    <w:rsid w:val="00F546D5"/>
    <w:rsid w:val="00F55469"/>
    <w:rsid w:val="00F55F82"/>
    <w:rsid w:val="00F60633"/>
    <w:rsid w:val="00F62085"/>
    <w:rsid w:val="00F6369C"/>
    <w:rsid w:val="00F7366A"/>
    <w:rsid w:val="00F74C93"/>
    <w:rsid w:val="00F90585"/>
    <w:rsid w:val="00F910ED"/>
    <w:rsid w:val="00F915EC"/>
    <w:rsid w:val="00F93E90"/>
    <w:rsid w:val="00FA3128"/>
    <w:rsid w:val="00FB21DD"/>
    <w:rsid w:val="00FB27DF"/>
    <w:rsid w:val="00FB455A"/>
    <w:rsid w:val="00FD59D9"/>
    <w:rsid w:val="00FE294C"/>
    <w:rsid w:val="00FF2737"/>
    <w:rsid w:val="00FF3709"/>
    <w:rsid w:val="00FF3F0E"/>
    <w:rsid w:val="00FF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4C225-72ED-4E8D-BED9-7623F7BB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97"/>
    <w:pPr>
      <w:spacing w:after="0" w:line="240" w:lineRule="auto"/>
      <w:ind w:left="720"/>
    </w:pPr>
    <w:rPr>
      <w:rFonts w:ascii="Arial" w:eastAsia="Times New Roman" w:hAnsi="Arial" w:cs="Arial"/>
      <w:color w:val="262626"/>
      <w:sz w:val="24"/>
      <w:szCs w:val="24"/>
    </w:rPr>
  </w:style>
  <w:style w:type="character" w:customStyle="1" w:styleId="apple-converted-space">
    <w:name w:val="apple-converted-space"/>
    <w:basedOn w:val="DefaultParagraphFont"/>
    <w:rsid w:val="00B31997"/>
  </w:style>
  <w:style w:type="table" w:styleId="TableGrid">
    <w:name w:val="Table Grid"/>
    <w:basedOn w:val="TableNormal"/>
    <w:uiPriority w:val="59"/>
    <w:rsid w:val="005A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F0B78"/>
    <w:rPr>
      <w:color w:val="0000FF"/>
      <w:u w:val="single"/>
    </w:rPr>
  </w:style>
  <w:style w:type="paragraph" w:styleId="FootnoteText">
    <w:name w:val="footnote text"/>
    <w:basedOn w:val="Normal"/>
    <w:link w:val="FootnoteTextChar"/>
    <w:semiHidden/>
    <w:rsid w:val="009F0B78"/>
    <w:pPr>
      <w:spacing w:after="0" w:line="240" w:lineRule="auto"/>
    </w:pPr>
    <w:rPr>
      <w:rFonts w:ascii="Arial" w:eastAsia="Times New Roman" w:hAnsi="Arial" w:cs="Arial"/>
      <w:color w:val="262626"/>
      <w:sz w:val="20"/>
      <w:szCs w:val="20"/>
    </w:rPr>
  </w:style>
  <w:style w:type="character" w:customStyle="1" w:styleId="FootnoteTextChar">
    <w:name w:val="Footnote Text Char"/>
    <w:basedOn w:val="DefaultParagraphFont"/>
    <w:link w:val="FootnoteText"/>
    <w:semiHidden/>
    <w:rsid w:val="009F0B78"/>
    <w:rPr>
      <w:rFonts w:ascii="Arial" w:eastAsia="Times New Roman" w:hAnsi="Arial" w:cs="Arial"/>
      <w:color w:val="262626"/>
      <w:sz w:val="20"/>
      <w:szCs w:val="20"/>
    </w:rPr>
  </w:style>
  <w:style w:type="character" w:styleId="FootnoteReference">
    <w:name w:val="footnote reference"/>
    <w:basedOn w:val="DefaultParagraphFont"/>
    <w:semiHidden/>
    <w:rsid w:val="009F0B78"/>
    <w:rPr>
      <w:vertAlign w:val="superscript"/>
    </w:rPr>
  </w:style>
  <w:style w:type="paragraph" w:styleId="BodyTextIndent">
    <w:name w:val="Body Text Indent"/>
    <w:basedOn w:val="Normal"/>
    <w:link w:val="BodyTextIndentChar"/>
    <w:semiHidden/>
    <w:rsid w:val="00363063"/>
    <w:pPr>
      <w:spacing w:after="0" w:line="240" w:lineRule="auto"/>
      <w:ind w:left="360" w:hanging="360"/>
    </w:pPr>
    <w:rPr>
      <w:rFonts w:ascii="Garamond" w:eastAsia="Times New Roman" w:hAnsi="Garamond" w:cs="Arial"/>
      <w:color w:val="262626"/>
      <w:sz w:val="20"/>
      <w:szCs w:val="20"/>
      <w:lang w:eastAsia="en-GB"/>
    </w:rPr>
  </w:style>
  <w:style w:type="character" w:customStyle="1" w:styleId="BodyTextIndentChar">
    <w:name w:val="Body Text Indent Char"/>
    <w:basedOn w:val="DefaultParagraphFont"/>
    <w:link w:val="BodyTextIndent"/>
    <w:semiHidden/>
    <w:rsid w:val="00363063"/>
    <w:rPr>
      <w:rFonts w:ascii="Garamond" w:eastAsia="Times New Roman" w:hAnsi="Garamond" w:cs="Arial"/>
      <w:color w:val="262626"/>
      <w:sz w:val="20"/>
      <w:szCs w:val="20"/>
      <w:lang w:eastAsia="en-GB"/>
    </w:rPr>
  </w:style>
  <w:style w:type="paragraph" w:styleId="BalloonText">
    <w:name w:val="Balloon Text"/>
    <w:basedOn w:val="Normal"/>
    <w:link w:val="BalloonTextChar"/>
    <w:uiPriority w:val="99"/>
    <w:semiHidden/>
    <w:unhideWhenUsed/>
    <w:rsid w:val="0000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16"/>
    <w:rPr>
      <w:rFonts w:ascii="Tahoma" w:hAnsi="Tahoma" w:cs="Tahoma"/>
      <w:sz w:val="16"/>
      <w:szCs w:val="16"/>
    </w:rPr>
  </w:style>
  <w:style w:type="paragraph" w:styleId="NormalWeb">
    <w:name w:val="Normal (Web)"/>
    <w:basedOn w:val="Normal"/>
    <w:uiPriority w:val="99"/>
    <w:unhideWhenUsed/>
    <w:rsid w:val="003F51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5140"/>
    <w:rPr>
      <w:b/>
      <w:bCs/>
    </w:rPr>
  </w:style>
  <w:style w:type="paragraph" w:styleId="Header">
    <w:name w:val="header"/>
    <w:basedOn w:val="Normal"/>
    <w:link w:val="HeaderChar"/>
    <w:unhideWhenUsed/>
    <w:rsid w:val="00C26A41"/>
    <w:pPr>
      <w:tabs>
        <w:tab w:val="center" w:pos="4513"/>
        <w:tab w:val="right" w:pos="9026"/>
      </w:tabs>
      <w:spacing w:after="0" w:line="240" w:lineRule="auto"/>
    </w:pPr>
  </w:style>
  <w:style w:type="character" w:customStyle="1" w:styleId="HeaderChar">
    <w:name w:val="Header Char"/>
    <w:basedOn w:val="DefaultParagraphFont"/>
    <w:link w:val="Header"/>
    <w:rsid w:val="00C26A41"/>
  </w:style>
  <w:style w:type="paragraph" w:styleId="Footer">
    <w:name w:val="footer"/>
    <w:basedOn w:val="Normal"/>
    <w:link w:val="FooterChar"/>
    <w:unhideWhenUsed/>
    <w:rsid w:val="00C26A41"/>
    <w:pPr>
      <w:tabs>
        <w:tab w:val="center" w:pos="4513"/>
        <w:tab w:val="right" w:pos="9026"/>
      </w:tabs>
      <w:spacing w:after="0" w:line="240" w:lineRule="auto"/>
    </w:pPr>
  </w:style>
  <w:style w:type="character" w:customStyle="1" w:styleId="FooterChar">
    <w:name w:val="Footer Char"/>
    <w:basedOn w:val="DefaultParagraphFont"/>
    <w:link w:val="Footer"/>
    <w:rsid w:val="00C26A41"/>
  </w:style>
  <w:style w:type="paragraph" w:customStyle="1" w:styleId="Normal1">
    <w:name w:val="Normal1"/>
    <w:basedOn w:val="Normal"/>
    <w:link w:val="normalChar"/>
    <w:qFormat/>
    <w:rsid w:val="008469F4"/>
    <w:pPr>
      <w:spacing w:before="120" w:after="120" w:line="312" w:lineRule="auto"/>
    </w:pPr>
    <w:rPr>
      <w:rFonts w:ascii="Arial" w:eastAsia="Calibri" w:hAnsi="Arial" w:cs="Times New Roman"/>
      <w:sz w:val="24"/>
      <w:lang w:eastAsia="en-GB"/>
    </w:rPr>
  </w:style>
  <w:style w:type="character" w:customStyle="1" w:styleId="normalChar">
    <w:name w:val="normal Char"/>
    <w:basedOn w:val="DefaultParagraphFont"/>
    <w:link w:val="Normal1"/>
    <w:rsid w:val="008469F4"/>
    <w:rPr>
      <w:rFonts w:ascii="Arial" w:eastAsia="Calibri" w:hAnsi="Arial" w:cs="Times New Roman"/>
      <w:sz w:val="24"/>
      <w:lang w:eastAsia="en-GB"/>
    </w:rPr>
  </w:style>
  <w:style w:type="character" w:styleId="CommentReference">
    <w:name w:val="annotation reference"/>
    <w:basedOn w:val="DefaultParagraphFont"/>
    <w:uiPriority w:val="99"/>
    <w:semiHidden/>
    <w:unhideWhenUsed/>
    <w:rsid w:val="006F612D"/>
    <w:rPr>
      <w:sz w:val="16"/>
      <w:szCs w:val="16"/>
    </w:rPr>
  </w:style>
  <w:style w:type="paragraph" w:styleId="CommentText">
    <w:name w:val="annotation text"/>
    <w:basedOn w:val="Normal"/>
    <w:link w:val="CommentTextChar"/>
    <w:uiPriority w:val="99"/>
    <w:semiHidden/>
    <w:unhideWhenUsed/>
    <w:rsid w:val="006F612D"/>
    <w:pPr>
      <w:spacing w:line="240" w:lineRule="auto"/>
    </w:pPr>
    <w:rPr>
      <w:sz w:val="20"/>
      <w:szCs w:val="20"/>
    </w:rPr>
  </w:style>
  <w:style w:type="character" w:customStyle="1" w:styleId="CommentTextChar">
    <w:name w:val="Comment Text Char"/>
    <w:basedOn w:val="DefaultParagraphFont"/>
    <w:link w:val="CommentText"/>
    <w:uiPriority w:val="99"/>
    <w:semiHidden/>
    <w:rsid w:val="006F612D"/>
    <w:rPr>
      <w:sz w:val="20"/>
      <w:szCs w:val="20"/>
    </w:rPr>
  </w:style>
  <w:style w:type="paragraph" w:styleId="CommentSubject">
    <w:name w:val="annotation subject"/>
    <w:basedOn w:val="CommentText"/>
    <w:next w:val="CommentText"/>
    <w:link w:val="CommentSubjectChar"/>
    <w:uiPriority w:val="99"/>
    <w:semiHidden/>
    <w:unhideWhenUsed/>
    <w:rsid w:val="006F612D"/>
    <w:rPr>
      <w:b/>
      <w:bCs/>
    </w:rPr>
  </w:style>
  <w:style w:type="character" w:customStyle="1" w:styleId="CommentSubjectChar">
    <w:name w:val="Comment Subject Char"/>
    <w:basedOn w:val="CommentTextChar"/>
    <w:link w:val="CommentSubject"/>
    <w:uiPriority w:val="99"/>
    <w:semiHidden/>
    <w:rsid w:val="006F612D"/>
    <w:rPr>
      <w:b/>
      <w:bCs/>
      <w:sz w:val="20"/>
      <w:szCs w:val="20"/>
    </w:rPr>
  </w:style>
  <w:style w:type="paragraph" w:styleId="Revision">
    <w:name w:val="Revision"/>
    <w:hidden/>
    <w:uiPriority w:val="99"/>
    <w:semiHidden/>
    <w:rsid w:val="008E7C61"/>
    <w:pPr>
      <w:spacing w:after="0" w:line="240" w:lineRule="auto"/>
    </w:pPr>
  </w:style>
  <w:style w:type="character" w:styleId="HTMLCite">
    <w:name w:val="HTML Cite"/>
    <w:basedOn w:val="DefaultParagraphFont"/>
    <w:uiPriority w:val="99"/>
    <w:semiHidden/>
    <w:unhideWhenUsed/>
    <w:rsid w:val="00F440B8"/>
    <w:rPr>
      <w:i/>
      <w:iCs/>
    </w:rPr>
  </w:style>
  <w:style w:type="character" w:customStyle="1" w:styleId="st">
    <w:name w:val="st"/>
    <w:basedOn w:val="DefaultParagraphFont"/>
    <w:rsid w:val="00F440B8"/>
  </w:style>
  <w:style w:type="character" w:styleId="Emphasis">
    <w:name w:val="Emphasis"/>
    <w:basedOn w:val="DefaultParagraphFont"/>
    <w:uiPriority w:val="20"/>
    <w:qFormat/>
    <w:rsid w:val="00F440B8"/>
    <w:rPr>
      <w:i/>
      <w:iCs/>
    </w:rPr>
  </w:style>
  <w:style w:type="table" w:customStyle="1" w:styleId="TableGrid1">
    <w:name w:val="Table Grid1"/>
    <w:basedOn w:val="TableNormal"/>
    <w:next w:val="TableGrid"/>
    <w:uiPriority w:val="59"/>
    <w:rsid w:val="00732B08"/>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244B"/>
    <w:rPr>
      <w:color w:val="800080" w:themeColor="followedHyperlink"/>
      <w:u w:val="single"/>
    </w:rPr>
  </w:style>
  <w:style w:type="paragraph" w:styleId="Title">
    <w:name w:val="Title"/>
    <w:basedOn w:val="Normal"/>
    <w:next w:val="Normal"/>
    <w:link w:val="TitleChar"/>
    <w:qFormat/>
    <w:rsid w:val="00A057DB"/>
    <w:pPr>
      <w:pBdr>
        <w:bottom w:val="single" w:sz="8" w:space="4" w:color="5B9BD5"/>
      </w:pBdr>
      <w:spacing w:after="300" w:line="240" w:lineRule="auto"/>
    </w:pPr>
    <w:rPr>
      <w:rFonts w:ascii="Calibri Light" w:eastAsia="Calibri" w:hAnsi="Calibri Light" w:cs="Times New Roman"/>
      <w:color w:val="323E4F"/>
      <w:spacing w:val="5"/>
      <w:kern w:val="28"/>
      <w:sz w:val="52"/>
      <w:szCs w:val="52"/>
    </w:rPr>
  </w:style>
  <w:style w:type="character" w:customStyle="1" w:styleId="TitleChar">
    <w:name w:val="Title Char"/>
    <w:basedOn w:val="DefaultParagraphFont"/>
    <w:link w:val="Title"/>
    <w:rsid w:val="00A057DB"/>
    <w:rPr>
      <w:rFonts w:ascii="Calibri Light" w:eastAsia="Calibri" w:hAnsi="Calibri Light" w:cs="Times New Roman"/>
      <w:color w:val="323E4F"/>
      <w:spacing w:val="5"/>
      <w:kern w:val="28"/>
      <w:sz w:val="52"/>
      <w:szCs w:val="52"/>
    </w:rPr>
  </w:style>
  <w:style w:type="paragraph" w:styleId="Subtitle">
    <w:name w:val="Subtitle"/>
    <w:basedOn w:val="Normal"/>
    <w:next w:val="Normal"/>
    <w:link w:val="SubtitleChar"/>
    <w:qFormat/>
    <w:rsid w:val="00A057DB"/>
    <w:pPr>
      <w:spacing w:before="120" w:after="120" w:line="240" w:lineRule="auto"/>
    </w:pPr>
    <w:rPr>
      <w:rFonts w:ascii="Calibri" w:eastAsia="Calibri" w:hAnsi="Calibri" w:cs="Times New Roman"/>
      <w:caps/>
      <w:color w:val="595959"/>
      <w:spacing w:val="10"/>
      <w:sz w:val="24"/>
      <w:szCs w:val="24"/>
    </w:rPr>
  </w:style>
  <w:style w:type="character" w:customStyle="1" w:styleId="SubtitleChar">
    <w:name w:val="Subtitle Char"/>
    <w:basedOn w:val="DefaultParagraphFont"/>
    <w:link w:val="Subtitle"/>
    <w:rsid w:val="00A057DB"/>
    <w:rPr>
      <w:rFonts w:ascii="Calibri" w:eastAsia="Calibri" w:hAnsi="Calibri" w:cs="Times New Roman"/>
      <w:caps/>
      <w:color w:val="595959"/>
      <w:spacing w:val="10"/>
      <w:sz w:val="24"/>
      <w:szCs w:val="24"/>
    </w:rPr>
  </w:style>
  <w:style w:type="character" w:styleId="PageNumber">
    <w:name w:val="page number"/>
    <w:basedOn w:val="DefaultParagraphFont"/>
    <w:rsid w:val="00A057DB"/>
    <w:rPr>
      <w:rFonts w:ascii="Arial" w:hAnsi="Arial" w:cs="Tahoma"/>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42713">
      <w:bodyDiv w:val="1"/>
      <w:marLeft w:val="0"/>
      <w:marRight w:val="0"/>
      <w:marTop w:val="0"/>
      <w:marBottom w:val="0"/>
      <w:divBdr>
        <w:top w:val="none" w:sz="0" w:space="0" w:color="auto"/>
        <w:left w:val="none" w:sz="0" w:space="0" w:color="auto"/>
        <w:bottom w:val="none" w:sz="0" w:space="0" w:color="auto"/>
        <w:right w:val="none" w:sz="0" w:space="0" w:color="auto"/>
      </w:divBdr>
    </w:div>
    <w:div w:id="1500540781">
      <w:bodyDiv w:val="1"/>
      <w:marLeft w:val="0"/>
      <w:marRight w:val="0"/>
      <w:marTop w:val="0"/>
      <w:marBottom w:val="0"/>
      <w:divBdr>
        <w:top w:val="none" w:sz="0" w:space="0" w:color="auto"/>
        <w:left w:val="none" w:sz="0" w:space="0" w:color="auto"/>
        <w:bottom w:val="none" w:sz="0" w:space="0" w:color="auto"/>
        <w:right w:val="none" w:sz="0" w:space="0" w:color="auto"/>
      </w:divBdr>
    </w:div>
    <w:div w:id="1659992314">
      <w:bodyDiv w:val="1"/>
      <w:marLeft w:val="0"/>
      <w:marRight w:val="0"/>
      <w:marTop w:val="0"/>
      <w:marBottom w:val="0"/>
      <w:divBdr>
        <w:top w:val="none" w:sz="0" w:space="0" w:color="auto"/>
        <w:left w:val="none" w:sz="0" w:space="0" w:color="auto"/>
        <w:bottom w:val="none" w:sz="0" w:space="0" w:color="auto"/>
        <w:right w:val="none" w:sz="0" w:space="0" w:color="auto"/>
      </w:divBdr>
      <w:divsChild>
        <w:div w:id="52967347">
          <w:marLeft w:val="38"/>
          <w:marRight w:val="38"/>
          <w:marTop w:val="13"/>
          <w:marBottom w:val="0"/>
          <w:divBdr>
            <w:top w:val="none" w:sz="0" w:space="0" w:color="auto"/>
            <w:left w:val="none" w:sz="0" w:space="0" w:color="auto"/>
            <w:bottom w:val="none" w:sz="0" w:space="0" w:color="auto"/>
            <w:right w:val="none" w:sz="0" w:space="0" w:color="auto"/>
          </w:divBdr>
          <w:divsChild>
            <w:div w:id="16895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4/2823/pdfs/uksi_20142823_en.pdf" TargetMode="External"/><Relationship Id="rId2" Type="http://schemas.openxmlformats.org/officeDocument/2006/relationships/hyperlink" Target="http://www.scie.org.uk/" TargetMode="External"/><Relationship Id="rId1" Type="http://schemas.openxmlformats.org/officeDocument/2006/relationships/hyperlink" Target="https://www.gov.uk/guidance/care-and-support-statutory-guidance/safeguarding" TargetMode="External"/><Relationship Id="rId4" Type="http://schemas.openxmlformats.org/officeDocument/2006/relationships/hyperlink" Target="http://www.bristol.ac.uk/media-library/sites/cipold/migrated/documents/full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20373-D9A3-4744-9C12-343C7277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6520</Words>
  <Characters>37169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Lindsey Pike</cp:lastModifiedBy>
  <cp:revision>2</cp:revision>
  <cp:lastPrinted>2016-12-16T00:42:00Z</cp:lastPrinted>
  <dcterms:created xsi:type="dcterms:W3CDTF">2018-02-10T10:34:00Z</dcterms:created>
  <dcterms:modified xsi:type="dcterms:W3CDTF">2018-02-10T10:34:00Z</dcterms:modified>
</cp:coreProperties>
</file>